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ind w:left="0" w:right="0" w:hanging="0"/>
        <w:jc w:val="left"/>
        <w:rPr>
          <w:sz w:val="4"/>
          <w:szCs w:val="4"/>
        </w:rPr>
      </w:pPr>
      <w:r>
        <w:rPr>
          <w:sz w:val="4"/>
          <w:szCs w:val="4"/>
        </w:rPr>
      </w:r>
      <w:bookmarkStart w:id="0" w:name="ea0306469-424b3_pasqal.htm"/>
      <w:bookmarkStart w:id="1" w:name="ksea0306469424b3_pasqal"/>
      <w:bookmarkStart w:id="2" w:name="ea0306469-424b3_pasqal.htm"/>
      <w:bookmarkStart w:id="3" w:name="ksea0306469424b3_pasqal"/>
      <w:bookmarkEnd w:id="2"/>
      <w:bookmarkEnd w:id="3"/>
    </w:p>
    <w:tbl>
      <w:tblPr>
        <w:tblW w:w="6235" w:type="dxa"/>
        <w:jc w:val="left"/>
        <w:tblInd w:w="0" w:type="dxa"/>
        <w:tblLayout w:type="fixed"/>
        <w:tblCellMar>
          <w:top w:w="0" w:type="dxa"/>
          <w:left w:w="0" w:type="dxa"/>
          <w:bottom w:w="0" w:type="dxa"/>
          <w:right w:w="0" w:type="dxa"/>
        </w:tblCellMar>
      </w:tblPr>
      <w:tblGrid>
        <w:gridCol w:w="3500"/>
        <w:gridCol w:w="2735"/>
      </w:tblGrid>
      <w:tr>
        <w:trPr/>
        <w:tc>
          <w:tcPr>
            <w:tcW w:w="35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September 18, 2026)</w:t>
            </w:r>
          </w:p>
        </w:tc>
        <w:tc>
          <w:tcPr>
            <w:tcW w:w="273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Filed Pursuant to Rule 424(b)(3)</w:t>
              <w:br/>
              <w:t>Registration No. 333-298830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17,333,333 Ordinary Shares Issuable Upon Exercise of 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286,674,886 Ordinary Shares</w:t>
        <w:br/>
        <w:t>Up to 7,750,000 Private Placement Warrants</w:t>
        <w:br/>
        <w:t>Offered by the 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September 18, 2026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F-1 (No. 333-298830) (the “</w:t>
      </w:r>
      <w:r>
        <w:rPr>
          <w:rFonts w:ascii="Times New Roman;Times;Serif" w:hAnsi="Times New Roman;Times;Serif"/>
          <w:b/>
          <w:i w:val="false"/>
          <w:caps w:val="false"/>
          <w:smallCaps w:val="false"/>
          <w:sz w:val="20"/>
        </w:rPr>
        <w:t>Form F-1</w:t>
      </w:r>
      <w:r>
        <w:rPr>
          <w:rFonts w:ascii="Times New Roman;Times;Serif" w:hAnsi="Times New Roman;Times;Serif"/>
          <w:b w:val="false"/>
          <w:i w:val="false"/>
          <w:caps w:val="false"/>
          <w:smallCaps w:val="false"/>
          <w:sz w:val="20"/>
        </w:rPr>
        <w:t>”). This prospectus supplement is being filed to update and supplement the information in the Prospectus with the information contained in our Report on Form 6-K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September 24, 2026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excluding Exhibit 99.1. Accordingly, we have attached the Report 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issuance by us of an aggregate of up to 17,333,333 ordinary shares, €0.02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which consists of (i) up to 9,583,333 Ordinary Shares that are issuable upon the exercise of 9,583,333 warrants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originally issued in the initial public offering of Bleichroeder Acquisition Corp. II (“</w:t>
      </w:r>
      <w:r>
        <w:rPr>
          <w:rFonts w:ascii="Times New Roman;Times;Serif" w:hAnsi="Times New Roman;Times;Serif"/>
          <w:b/>
          <w:i w:val="false"/>
          <w:caps w:val="false"/>
          <w:smallCaps w:val="false"/>
          <w:sz w:val="20"/>
        </w:rPr>
        <w:t>Bleichroeder</w:t>
      </w:r>
      <w:r>
        <w:rPr>
          <w:rFonts w:ascii="Times New Roman;Times;Serif" w:hAnsi="Times New Roman;Times;Serif"/>
          <w:b w:val="false"/>
          <w:i w:val="false"/>
          <w:caps w:val="false"/>
          <w:smallCaps w:val="false"/>
          <w:sz w:val="20"/>
        </w:rPr>
        <w:t>”) and (ii) up to 7,750,000 Ordinary Shares that are issuable upon the exercise of 7,750,000 warrants (the “</w:t>
      </w:r>
      <w:r>
        <w:rPr>
          <w:rFonts w:ascii="Times New Roman;Times;Serif" w:hAnsi="Times New Roman;Times;Serif"/>
          <w:b/>
          <w:i w:val="false"/>
          <w:caps w:val="false"/>
          <w:smallCaps w:val="false"/>
          <w:sz w:val="20"/>
        </w:rPr>
        <w:t>Private Placement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originally issued in a private placement to Bleichroeder Sponsor 2 LLC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Cohen &amp; Company Securities, LLC and Clear Street LLC in connection with the initial public offering of Bleichroeder. Each Warrant is exercisable at $11.50 per Ordinary Share, subject to adjustment. We will receive the proceeds from any exercise of the Warrants to the extent such Warrants or Investment Warrants are exercised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also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(i) up to 286,674,886 Ordinary Shares, consisting of (a) up to 56,287,179 Ordinary Shares issuable upon conversion of the Senior Unsecured Convertible Bonds issued pursuant to the Securities Purchase Agreement, dated as of March 4, 2026 and as amended on May 23, 2026 (the “</w:t>
      </w:r>
      <w:r>
        <w:rPr>
          <w:rFonts w:ascii="Times New Roman;Times;Serif" w:hAnsi="Times New Roman;Times;Serif"/>
          <w:b/>
          <w:i w:val="false"/>
          <w:caps w:val="false"/>
          <w:smallCaps w:val="false"/>
          <w:sz w:val="20"/>
        </w:rPr>
        <w:t>March 2026 SPA</w:t>
      </w:r>
      <w:r>
        <w:rPr>
          <w:rFonts w:ascii="Times New Roman;Times;Serif" w:hAnsi="Times New Roman;Times;Serif"/>
          <w:b w:val="false"/>
          <w:i w:val="false"/>
          <w:caps w:val="false"/>
          <w:smallCaps w:val="false"/>
          <w:sz w:val="20"/>
        </w:rPr>
        <w:t>”), assuming a conversion price of $7.80 per Ordinary Share and taking into account payment-in-kind interest accrued for a period of three years from the Closing Date, (b) up to 50,080,128 Ordinary Shares issuable upon exercise of the Investment Warrants issued pursuant to the March 2026 SPA, assuming an exercise price of $7.80 per Ordinary Share, (c) up to 9,583,333 Ordinary Shares held by certain securityholders, received upon conversion and subsequent distribution by the Sponsor of 9,583,333 Bleichroeder Class B ordinary shares in connection with the Business Combination (as defined in the Prospectus), (d) up to 7,750,000 Ordinary Shares issuable upon exercise of the Private Placement Warrants, (e) up to 162,974,246 Ordinary Shares issued to certain former shareholders of Pasqal Holding SAS in connection with the Merger (as defined in the Prospectus), and (ii) up to 7,750,000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429 under the Securities Act of 1933, as amended, the prospectus included herein is a combined prospectus that relates to (i) the Registration Statement on Form F-4 (Registration No. 333-296239) filed on May 26, 2026, which was subsequently amended on June 25, 2026, July 23, 2026, and July 31, 2026 and declared effective by the SEC on August 5, 2026 (the “</w:t>
      </w:r>
      <w:r>
        <w:rPr>
          <w:rFonts w:ascii="Times New Roman;Times;Serif" w:hAnsi="Times New Roman;Times;Serif"/>
          <w:b/>
          <w:i w:val="false"/>
          <w:caps w:val="false"/>
          <w:smallCaps w:val="false"/>
          <w:sz w:val="20"/>
        </w:rPr>
        <w:t>Prior Registration Statement</w:t>
      </w:r>
      <w:r>
        <w:rPr>
          <w:rFonts w:ascii="Times New Roman;Times;Serif" w:hAnsi="Times New Roman;Times;Serif"/>
          <w:b w:val="false"/>
          <w:i w:val="false"/>
          <w:caps w:val="false"/>
          <w:smallCaps w:val="false"/>
          <w:sz w:val="20"/>
        </w:rPr>
        <w:t>”) and (ii) the Form F-1. This prospectus supplement also constitutes a supplement to the Prior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and Public Warrants are listed on The Nasdaq Stock Market LLC (“Nasdaq”) under the symbols “PSQL” and “PSQLW,” respectively. On September 23, 2026, the last reported sales price of our Ordinary Shares on Nasdaq was $7.47 per share, and the last reported sales price of our Public Warrants on Nasdaq was $1.35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the U.S.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review carefully the risks and uncertainties described in the section titled “Risk Factors” beginning on page 7 of the Prospectus, and under similar headings in any amendments or supplements 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001-43463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rue Emile Baudot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91120 Palaiseau, France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CONTAINED IN THIS REPORT ON 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Pasqal Holding SA (“Pasqal”) issued a press release announcing its financial results for the first six months of 2026. A copy of the press release is attached hereto as Exhibit 99.1. Also attached as exhibits to this Report on Form 6-K are (i) Management’s Discussion and Analysis of Financial Condition and Results of Operations at June 30, 2026 and December 31, 2025 and for the six months ended June 30, 2026 and 2025, which is attached as Exhibit 99.2, and (ii) Pasqal’s unaudited condensed consolidated financial statements at June 30, 2026 and December 31, 2025 and for the six months ended June 30, 2026 and 2025, which are attached as 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4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CCEEFF" w:val="clear"/>
            <w:tcMar>
              <w:bottom w:w="0" w:type="dxa"/>
            </w:tcMar>
            <w:vAlign w:val="center"/>
          </w:tcPr>
          <w:p>
            <w:pPr>
              <w:pStyle w:val="TableContents"/>
              <w:bidi w:val="0"/>
              <w:spacing w:before="0" w:after="283"/>
              <w:jc w:val="left"/>
              <w:rPr/>
            </w:pPr>
            <w:hyperlink w:anchor="b_001">
              <w:r>
                <w:rPr>
                  <w:rStyle w:val="InternetLink"/>
                  <w:rFonts w:ascii="Times New Roman;Times;Serif" w:hAnsi="Times New Roman;Times;Serif"/>
                  <w:b w:val="false"/>
                  <w:i w:val="false"/>
                  <w:caps w:val="false"/>
                  <w:smallCaps w:val="false"/>
                  <w:sz w:val="20"/>
                </w:rPr>
                <w:t>Press Release of Pasqal, dated September 24,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FFFFFF" w:val="clear"/>
            <w:tcMar>
              <w:bottom w:w="0" w:type="dxa"/>
            </w:tcMar>
            <w:vAlign w:val="center"/>
          </w:tcPr>
          <w:p>
            <w:pPr>
              <w:pStyle w:val="TableContents"/>
              <w:bidi w:val="0"/>
              <w:spacing w:before="0" w:after="283"/>
              <w:jc w:val="left"/>
              <w:rPr/>
            </w:pPr>
            <w:hyperlink w:anchor="b_002">
              <w:r>
                <w:rPr>
                  <w:rStyle w:val="InternetLink"/>
                  <w:rFonts w:ascii="Times New Roman;Times;Serif" w:hAnsi="Times New Roman;Times;Serif"/>
                  <w:b w:val="false"/>
                  <w:i w:val="false"/>
                  <w:caps w:val="false"/>
                  <w:smallCaps w:val="false"/>
                  <w:sz w:val="20"/>
                </w:rPr>
                <w:t>Management’s Discussion and Analysis of Financial Condition and Results of Operations at June 30, 2026 and December 31, 2025 and for the Six Months Ended June 30, 2026 and 2025.</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shd w:fill="CCEEFF" w:val="clear"/>
            <w:tcMar>
              <w:bottom w:w="0" w:type="dxa"/>
            </w:tcMar>
            <w:vAlign w:val="center"/>
          </w:tcPr>
          <w:p>
            <w:pPr>
              <w:pStyle w:val="TableContents"/>
              <w:bidi w:val="0"/>
              <w:spacing w:before="0" w:after="283"/>
              <w:jc w:val="left"/>
              <w:rPr/>
            </w:pPr>
            <w:hyperlink w:anchor="b_003">
              <w:r>
                <w:rPr>
                  <w:rStyle w:val="InternetLink"/>
                  <w:rFonts w:ascii="Times New Roman;Times;Serif" w:hAnsi="Times New Roman;Times;Serif"/>
                  <w:b w:val="false"/>
                  <w:i w:val="false"/>
                  <w:caps w:val="false"/>
                  <w:smallCaps w:val="false"/>
                  <w:sz w:val="20"/>
                </w:rPr>
                <w:t>Unaudited Condensed Consolidated Financial Statements at June 30, 2026 and December 31, 2025 and for the Six Months Ended June 30, 2026 and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135"/>
        <w:gridCol w:w="365"/>
        <w:gridCol w:w="245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8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HOLDING SA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24,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450"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Wasiq Bokhari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Wasiq Bokhari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b_001"/>
      <w:bookmarkEnd w:id="4"/>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Reports First Half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Operational Execution and Progress Across Customer Deployments, Commercial Partnerships and Product Development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Increased 14% Year-Over-Year, Including 34% Growth in QPU-Related Services Revenue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PARIS and NEW YORK, September 24, 2026 </w:t>
      </w:r>
      <w:r>
        <w:rPr>
          <w:rFonts w:ascii="Times New Roman;Times;Serif" w:hAnsi="Times New Roman;Times;Serif"/>
          <w:b w:val="false"/>
          <w:i w:val="false"/>
          <w:caps w:val="false"/>
          <w:smallCaps w:val="false"/>
          <w:sz w:val="20"/>
        </w:rPr>
        <w:t>— Pasqal Holding SA (Nasdaq: PSQL), a global leader in neutral-atom quantum computing, today announced its financial results for the first half of 2026, covering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Financial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Revenue of €4.9 million, an increase of 14% year-over-year.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QPU-related services revenue of €3.9 million, an increase of 34% year-over-year.</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left"/>
              <w:rPr/>
            </w:pPr>
            <w:r>
              <w:rPr/>
              <w:t>Booked and awarded business</w:t>
            </w:r>
            <w:r>
              <w:rPr>
                <w:position w:val="8"/>
                <w:sz w:val="19"/>
              </w:rPr>
              <w:t>1</w:t>
            </w:r>
            <w:r>
              <w:rPr/>
              <w:t xml:space="preserve"> of €70.4 million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Operating loss of €59.2 million, which included €37.5 million in share based payments and one-time charges, as compared with €19.8 million in the first half of 2025, which included €1.0 million in share based payments.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Shared based payment charges amounted to €27.3 million in the first half of 2026, compared to €1.0 million in the first half of 2025. One-time transaction-related expenses incurred in connection with the completion of the business combination and the related listing process amounted to €10.2 million in the first half of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Cash and cash equivalents of €110.8 million as of June 30, 2026. Strong balance sheet to fund growth with cash and cash equivalents of approximately €312.9 million as of August 27, 2026, following the successful business combination with Bleichroeder Acquisition Corp. II and related financing transactions as described below.</w:t>
            </w:r>
          </w:p>
        </w:tc>
      </w:tr>
    </w:tbl>
    <w:p>
      <w:pPr>
        <w:pStyle w:val="TextBody"/>
        <w:bidi w:val="0"/>
        <w:spacing w:before="0" w:after="0"/>
        <w:ind w:left="36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9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585" w:type="dxa"/>
            <w:tcBorders/>
            <w:vAlign w:val="center"/>
          </w:tcPr>
          <w:p>
            <w:pPr>
              <w:pStyle w:val="TableContents"/>
              <w:bidi w:val="0"/>
              <w:spacing w:before="0" w:after="283"/>
              <w:jc w:val="left"/>
              <w:rPr/>
            </w:pPr>
            <w:r>
              <w:rPr/>
              <w:t>Booked and awarded business include grants, tax credit and multi-year customer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half of 2026, we continued to deepen our engagement with our customers of choice across financial services, energy and advanced materials to solve high-value business problems and integrate quantum computing into real-world workflows. As demonstrated by our expanding relationships with organizations including NVIDIA, Google, Saudi Aramco and Crédit Agricole, the ability to deliver quantum advantage on meaningful applications today is driving commercial momentum, strengthening our backlog and validating quantum computing as a practical tool for creating measurable value for enterprise customers,” said Dr. Wasiq Bokhari, Chief Executive Officer of Pasqal.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At the same time, we continue to execute against our roadmap. Recent milestones, including the demonstration of more than 1,000 physical qubits, industry-leading progress in logical qubits, and the successful application of our systems to solve complex differential equations and simulate materials beyond the practical reach of classical computing, reinforce our confidence in the strength and differentiation of Pasqal’s neutral-atom approach and position the Company to capitalize on the growing demand for practical quantum computing solutions,” continued Dr. Bokhari.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Importantly, Pasqal’s capital-efficient business model enables us to pursue these technology and commercial objectives without the significant infrastructure investments required by many alternative quantum architectures. By leveraging a highly scalable neutral-atom platform that can be deployed in conventional data center environments, we are able to bring quantum solutions to customers more quickly, lower total cost of ownership, and accelerate the transition from research programs to production applications. This capital efficiency benefits both Pasqal and our customers, allowing us to focus resources on delivering practical solutions to real-world business challenges today while advancing toward fault-tolerant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enter the second half of the year as a publicly traded company, we believe Pasqal is uniquely positioned at the intersection of scientific innovation and commercial adoption. With a growing portfolio of customer engagements, a differentiated technology platform, a disciplined approach to capital allocation, and a strong balance sheet to support future growth, we remain focused on delivering practical quantum solutions that create value today while building the foundation for the next generation of quantum computing.”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Business and Technological Highlights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Introduced New Integration with NVIDIA CUDA-Q</w:t>
            </w:r>
            <w:r>
              <w:rPr/>
              <w:t>: Integrated NVIDIA CUDA-Q with Pasqal’s platform to advance hybrid quantum-classical computing and simplify deployment of quantum workloads within existing HPC infrastructure.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Experimental Validation of Quantum Simulation: </w:t>
            </w:r>
            <w:r>
              <w:rPr>
                <w:rFonts w:ascii="Times New Roman;Times;Serif" w:hAnsi="Times New Roman;Times;Serif"/>
              </w:rPr>
              <w:t>Pasqal and its academic partners used up to 256 atoms on Pasqal’s Orion Beta QPUs to simulate the magnetic material TmMgGaO₄ and compared the results against laboratory measurements on crystals of that material. The work was among the studies cited by Nature on March 30, 2026, in its coverage of quantum simulations being verified against experimental data for the first time.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Scaling of the Qubit Register: </w:t>
            </w:r>
            <w:r>
              <w:rPr>
                <w:rFonts w:ascii="Times New Roman;Times;Serif" w:hAnsi="Times New Roman;Times;Serif"/>
              </w:rPr>
              <w:t xml:space="preserve">Pasqal prepared defect-free registers of 1,024 atoms, doubling its previous result of 506 atoms, and extended atom lifetimes approximately 40-fold through a redesigned cryogenic platform.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rFonts w:ascii="Times New Roman;Times;Serif" w:hAnsi="Times New Roman;Times;Serif"/>
                <w:i/>
              </w:rPr>
              <w:t xml:space="preserve">Research Milestone in Logical Qubit Computing: </w:t>
            </w:r>
            <w:r>
              <w:rPr>
                <w:rFonts w:ascii="Times New Roman;Times;Serif" w:hAnsi="Times New Roman;Times;Serif"/>
              </w:rPr>
              <w:t xml:space="preserve">Pasqal executed a full machine-learning application for solving differential equations using logical qubits, with the logical implementation outperforming its physical-qubit counterparts, in what the Company believes to be the first such comparison on a full application rather than on isolated sub-routines.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Selected as XPRIZE Quantum Applications Finalist</w:t>
            </w:r>
            <w:r>
              <w:rPr/>
              <w:t>: Pasqal is one of five teams advancing in the XPRIZE Quantum Applications competition, a three-year global initiative sponsored by Google Quantum AI and the Geneva Science and Diplomacy Anticipator (GESDA) to accelerate the development of quantum computing solutions for real-world challenges. Final results are expected to be announced in 2027.</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Partnered with True Nexus to Apply Quantum Computing to Next</w:t>
            </w:r>
            <w:r>
              <w:rPr>
                <w:rFonts w:ascii="Times New Roman;Times;Serif" w:hAnsi="Times New Roman;Times;Serif"/>
                <w:i/>
              </w:rPr>
              <w:t>-</w:t>
            </w:r>
            <w:r>
              <w:rPr>
                <w:i/>
              </w:rPr>
              <w:t>Generation Food Protein Design</w:t>
            </w:r>
            <w:r>
              <w:rPr/>
              <w:t>: The partnership aims to create advanced computational models for protein functionality, expanding Pasqal’s presence in industrial applications and demonstrating the potential of neutral-atom quantum systems in life sciences and sustainable food innovation.</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Launched Saudi Arabia’s First Quantum Computer and the Middle East’s First Commercial Quantum Computing as a Service Platform</w:t>
            </w:r>
            <w:r>
              <w:rPr/>
              <w:t>: The deployment provides cloud-based access to a 200-qubit neutral-atom system and marks a significant milestone in the commercialization of quantum computing for industrial applications.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Advanced Strategic Partnership with Crédit Agricole CIB to Deploy Quantum Computing Applied to Finance</w:t>
            </w:r>
            <w:r>
              <w:rPr/>
              <w:t>: The strategic partnership is expected to accelerate the transition from quantum research to operational deployment in capital markets activities.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Deployed Italy’s First Neutral Atom Quantum Computer</w:t>
            </w:r>
            <w:r>
              <w:rPr/>
              <w:t>: Delivered a 140-qubit system designed for integration with the Leonardo supercomputer, expanding Pasqal’s installed base of production quantum systems across strategic research and commercial computing centers.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Strengthened Leadership Team: </w:t>
            </w:r>
            <w:r>
              <w:rPr/>
              <w:t>Appointed Stéphane Rougeot as Chief Financial Officer to lead Pasqal’s global finance organization.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Developments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left"/>
              <w:rPr/>
            </w:pPr>
            <w:r>
              <w:rPr>
                <w:i/>
              </w:rPr>
              <w:t>Memo of Understanding (“MOU”) with Eleven Ventures:</w:t>
            </w:r>
            <w:r>
              <w:rPr/>
              <w:t xml:space="preserve"> Announced a MOU with Eleven Ventures, a Kingdom of Saudi Arabia investment platform and venture capital firm, to establish a joint venture to deploy and commercialize Pasqal’s quantum computing systems across the Kingdom of Saudi Arabia.</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Collaboration with King Abdulaziz City for Science &amp; Technology (“KACST”): </w:t>
            </w:r>
            <w:r>
              <w:rPr/>
              <w:t>Entered into research collaboration agreement with KACST to advance research and development in quantum technologies in the Kingdom of Saudi Arabia.</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shd w:fill="FFFFFF" w:val="clear"/>
              </w:rPr>
              <w:t xml:space="preserve">Advance Next-Generation Technologies for Critical Mineral Production: </w:t>
            </w:r>
            <w:r>
              <w:rPr>
                <w:shd w:fill="FFFFFF" w:val="clear"/>
              </w:rPr>
              <w:t xml:space="preserve">Partnered with USA Rare Earth and Riven Systems to advance next-generation technologies for critical mineral production. </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Photon Integrated Circuit (“PIC”) Packaging Center of Competency:</w:t>
            </w:r>
            <w:r>
              <w:rPr/>
              <w:t xml:space="preserve"> Launched, through its Canadian subsidiary Aeponyx Enterprises Inc. (“Aeponyx”), a Center of Competency in Photonic Integrated Circuit (“PIC”) Packaging at the C2MI in Bromont, Quebec, intended to establish a domestic Canadian supply chain supporting the photonic layer of Pasqal’s hardware roadmap.</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i/>
              </w:rPr>
              <w:t xml:space="preserve">PIC Trapped Atoms Further Enhancing Technological Roadmap: </w:t>
            </w:r>
            <w:r>
              <w:rPr/>
              <w:t>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will host a conference call to discuss the Company’s first half 2026 financial results on Thursday, September 24, 2026, at 8:00 a.m. Eastern Time. Those wishing to participate via telephone may dial 1-877-497-9071 (U.S. and Canada) or 1-201-689-8727 (international). A live audio webcast of the conference call can be accessed through Pasqal’s Investor Relations website at https://investors.pasqal.com, and a webcast replay will be accessible following the scheduled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(Nasdaq: PSQL) helps organizations tackle problems that are difficult or impossible to solve with conventional computing methods alone. Founded in 2019 on Nobel Prize–winning research, Pasqal builds and operates neutral-atom quantum computers, delivered with a full software stack, for industry, science, and governments. Pasqal’s production-ready systems are available both on-premises and through the cloud, enabling organizations to harness quantum computing without requiring in-house quantum expertise. A single hardware platform supports analog workloads today and is designed to evolve toward fault-tolerant quantum computing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with operations globally, Pasqal’s quantum computing systems are used by customers across energy, financial services and advanced materials to address complex challenges. Pasqal’s customers include Saudi Aramco, Crédit Agricole CIB, LG Electronics and supported by partnerships with NVIDIA and IBM (Pasqal is part of the IBM Quantum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“potential,” “seem,” “seek,” “target,” “possible,” “future,” “outlook” or similar terminology or expressions that predict or indicate future events or trends. These forward-looking statements include, but are not limited to, statements regarding future events, including Pasqal’s expected use of cash available at closing of the business combination and Pasqal’s ability to accelerate global deployment of its quantum computing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Pasqal. These statements are subject to known and unknown risks and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risks related to Pasqal’s indebtedness;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foregoing list of risk factors is not exhaustive. There may be additional risks that Pasqal does not know or currently believes are immaterial that could also cause actual results to differ from those contained in forward-looking statements. In addition, forward-looking statements provide Pasqal’s expectations, plans and forecasts of future events and views as of the date of this communication. While Pasqal may elect to update these forward-looking statements in the future, Pasqal specifically disclaims any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28" w:type="dxa"/>
          <w:right w:w="0" w:type="dxa"/>
        </w:tblCellMar>
      </w:tblPr>
      <w:tblGrid>
        <w:gridCol w:w="3290"/>
        <w:gridCol w:w="60"/>
        <w:gridCol w:w="61"/>
        <w:gridCol w:w="813"/>
        <w:gridCol w:w="60"/>
        <w:gridCol w:w="60"/>
        <w:gridCol w:w="98"/>
        <w:gridCol w:w="1317"/>
        <w:gridCol w:w="75"/>
      </w:tblGrid>
      <w:tr>
        <w:trPr/>
        <w:tc>
          <w:tcPr>
            <w:tcW w:w="32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pPr>
            <w:r>
              <w:rPr>
                <w:b/>
              </w:rPr>
              <w:t>June 30,</w:t>
              <w:br/>
              <w:t>2026</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19,676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18,858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17,451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28,119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8,978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8,802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8,421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1,198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94,662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83,844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Inventories,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11,796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11,309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6,109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5,608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Government grant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Tax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5,315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3,111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2,010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73,762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140,175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103,980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234,837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187,824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775" w:type="dxa"/>
        <w:jc w:val="left"/>
        <w:tblInd w:w="0" w:type="dxa"/>
        <w:tblLayout w:type="fixed"/>
        <w:tblCellMar>
          <w:top w:w="0" w:type="dxa"/>
          <w:left w:w="0" w:type="dxa"/>
          <w:bottom w:w="28" w:type="dxa"/>
          <w:right w:w="0" w:type="dxa"/>
        </w:tblCellMar>
      </w:tblPr>
      <w:tblGrid>
        <w:gridCol w:w="4100"/>
        <w:gridCol w:w="60"/>
        <w:gridCol w:w="60"/>
        <w:gridCol w:w="875"/>
        <w:gridCol w:w="95"/>
        <w:gridCol w:w="60"/>
        <w:gridCol w:w="98"/>
        <w:gridCol w:w="1317"/>
        <w:gridCol w:w="110"/>
      </w:tblGrid>
      <w:tr>
        <w:trPr/>
        <w:tc>
          <w:tcPr>
            <w:tcW w:w="41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715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70,158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(124,889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(32,533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pPr>
            <w:r>
              <w:rPr/>
              <w:t>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95,196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49,601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(92,355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7,796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7,640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9,627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Employee benefit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15,161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11,051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9,484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b/>
              </w:rPr>
            </w:pPr>
            <w:r>
              <w:rPr>
                <w:b/>
              </w:rPr>
              <w:t>42,719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38,168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105,164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520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524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356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13,911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9,556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6,931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7,409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8,084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63,048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154,070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shareholder’s equity and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234,837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b/>
              </w:rPr>
            </w:pPr>
            <w:r>
              <w:rPr>
                <w:b/>
              </w:rPr>
              <w:t>187,824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PROFIT OR LOSS AND OTHER COMPREHENSIVE INCOME (UNAUDITED)</w:t>
      </w:r>
    </w:p>
    <w:p>
      <w:pPr>
        <w:pStyle w:val="TextBody"/>
        <w:bidi w:val="0"/>
        <w:spacing w:before="0" w:after="0"/>
        <w:ind w:left="0" w:right="0" w:hanging="0"/>
        <w:jc w:val="both"/>
        <w:rPr>
          <w:caps w:val="false"/>
          <w:smallCaps w:val="false"/>
        </w:rPr>
      </w:pPr>
      <w:r>
        <w:rPr>
          <w:caps w:val="false"/>
          <w:smallCaps w:val="false"/>
        </w:rPr>
        <w:t> </w:t>
      </w:r>
    </w:p>
    <w:tbl>
      <w:tblPr>
        <w:tblW w:w="7646" w:type="dxa"/>
        <w:jc w:val="left"/>
        <w:tblInd w:w="0" w:type="dxa"/>
        <w:tblLayout w:type="fixed"/>
        <w:tblCellMar>
          <w:top w:w="0" w:type="dxa"/>
          <w:left w:w="0" w:type="dxa"/>
          <w:bottom w:w="0" w:type="dxa"/>
          <w:right w:w="0" w:type="dxa"/>
        </w:tblCellMar>
      </w:tblPr>
      <w:tblGrid>
        <w:gridCol w:w="5015"/>
        <w:gridCol w:w="60"/>
        <w:gridCol w:w="82"/>
        <w:gridCol w:w="1042"/>
        <w:gridCol w:w="131"/>
        <w:gridCol w:w="82"/>
        <w:gridCol w:w="82"/>
        <w:gridCol w:w="1042"/>
        <w:gridCol w:w="110"/>
      </w:tblGrid>
      <w:tr>
        <w:trPr/>
        <w:tc>
          <w:tcPr>
            <w:tcW w:w="50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6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ind w:left="0" w:right="0" w:hanging="180"/>
              <w:jc w:val="left"/>
              <w:rPr/>
            </w:pPr>
            <w:r>
              <w:rPr/>
              <w:t> </w:t>
            </w:r>
          </w:p>
        </w:tc>
      </w:tr>
      <w:tr>
        <w:trPr/>
        <w:tc>
          <w:tcPr>
            <w:tcW w:w="5015"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31"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4,872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4,286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2,950</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3,544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1,275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(2,569</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(2,692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1,372</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1,825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(41,594</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(15,353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(19,553</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(8,261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(4,302</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(4,396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(518</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1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(59,161</w:t>
            </w:r>
          </w:p>
        </w:tc>
        <w:tc>
          <w:tcPr>
            <w:tcW w:w="131" w:type="dxa"/>
            <w:tcBorders/>
            <w:shd w:fill="FFFFFF" w:val="clear"/>
            <w:vAlign w:val="center"/>
          </w:tcPr>
          <w:p>
            <w:pPr>
              <w:pStyle w:val="TableContents"/>
              <w:bidi w:val="0"/>
              <w:spacing w:before="0" w:after="283"/>
              <w:jc w:val="left"/>
              <w:rPr>
                <w:b/>
              </w:rPr>
            </w:pPr>
            <w:r>
              <w:rPr>
                <w:b/>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(19,773</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5015"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7,048</w:t>
            </w:r>
          </w:p>
        </w:tc>
        <w:tc>
          <w:tcPr>
            <w:tcW w:w="13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(3,033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1,414</w:t>
            </w:r>
          </w:p>
        </w:tc>
        <w:tc>
          <w:tcPr>
            <w:tcW w:w="13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1,101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(1,996</w:t>
            </w:r>
          </w:p>
        </w:tc>
        <w:tc>
          <w:tcPr>
            <w:tcW w:w="131"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(1,838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015" w:type="dxa"/>
            <w:tcBorders/>
            <w:shd w:fill="FFFFFF" w:val="clear"/>
            <w:vAlign w:val="center"/>
          </w:tcPr>
          <w:p>
            <w:pPr>
              <w:pStyle w:val="TableContents"/>
              <w:bidi w:val="0"/>
              <w:spacing w:before="0" w:after="283"/>
              <w:jc w:val="left"/>
              <w:rPr/>
            </w:pPr>
            <w:r>
              <w:rPr/>
              <w:t>Other financial expense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(521</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(2,608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15"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(53,216</w:t>
            </w:r>
          </w:p>
        </w:tc>
        <w:tc>
          <w:tcPr>
            <w:tcW w:w="131"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(26,150</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5015" w:type="dxa"/>
            <w:tcBorders/>
            <w:shd w:fill="FFFFFF" w:val="clear"/>
            <w:vAlign w:val="center"/>
          </w:tcPr>
          <w:p>
            <w:pPr>
              <w:pStyle w:val="TableContents"/>
              <w:bidi w:val="0"/>
              <w:spacing w:before="0" w:after="283"/>
              <w:jc w:val="left"/>
              <w:rPr/>
            </w:pPr>
            <w:r>
              <w:rPr/>
              <w:t>Income (expense) tax benefit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(20</w:t>
            </w:r>
          </w:p>
        </w:tc>
        <w:tc>
          <w:tcPr>
            <w:tcW w:w="131"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15"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(53,236</w:t>
            </w:r>
          </w:p>
        </w:tc>
        <w:tc>
          <w:tcPr>
            <w:tcW w:w="131"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(26,118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9848" w:type="dxa"/>
        <w:jc w:val="left"/>
        <w:tblInd w:w="0" w:type="dxa"/>
        <w:tblLayout w:type="fixed"/>
        <w:tblCellMar>
          <w:top w:w="0" w:type="dxa"/>
          <w:left w:w="0" w:type="dxa"/>
          <w:bottom w:w="28" w:type="dxa"/>
          <w:right w:w="0" w:type="dxa"/>
        </w:tblCellMar>
      </w:tblPr>
      <w:tblGrid>
        <w:gridCol w:w="7775"/>
        <w:gridCol w:w="60"/>
        <w:gridCol w:w="64"/>
        <w:gridCol w:w="810"/>
        <w:gridCol w:w="95"/>
        <w:gridCol w:w="60"/>
        <w:gridCol w:w="64"/>
        <w:gridCol w:w="810"/>
        <w:gridCol w:w="110"/>
      </w:tblGrid>
      <w:tr>
        <w:trPr/>
        <w:tc>
          <w:tcPr>
            <w:tcW w:w="7775" w:type="dxa"/>
            <w:tcBorders>
              <w:bottom w:val="single" w:sz="12" w:space="0" w:color="000000"/>
            </w:tcBorders>
            <w:vAlign w:val="center"/>
          </w:tcPr>
          <w:p>
            <w:pPr>
              <w:pStyle w:val="TableContents"/>
              <w:bidi w:val="0"/>
              <w:spacing w:before="0" w:after="283"/>
              <w:jc w:val="left"/>
              <w:rPr>
                <w:b/>
              </w:rPr>
            </w:pPr>
            <w:r>
              <w:rPr>
                <w:b/>
              </w:rPr>
              <w:t>Other comprehensive loss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77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b/>
                <w:i/>
              </w:rPr>
            </w:pPr>
            <w:r>
              <w:rPr>
                <w:b/>
                <w:i/>
              </w:rPr>
              <w:t>Items that may be reclassified to profit or loss in subsequent periods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b/>
              </w:rPr>
            </w:pPr>
            <w:r>
              <w:rPr>
                <w:b/>
              </w:rPr>
              <w:t>(311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b/>
              </w:rPr>
            </w:pPr>
            <w:r>
              <w:rPr>
                <w:b/>
              </w:rPr>
              <w:t>10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pPr>
            <w:r>
              <w:rPr/>
              <w:t>Foreign currency 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10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i/>
              </w:rPr>
            </w:pPr>
            <w:r>
              <w:rPr>
                <w:b/>
                <w:i/>
              </w:rPr>
              <w:t>Items that will not be reclassified to profit or loss / income in subsequent periods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b/>
              </w:rPr>
            </w:pPr>
            <w:r>
              <w:rPr>
                <w:b/>
              </w:rPr>
              <w:t>(11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b/>
              </w:rPr>
            </w:pPr>
            <w:r>
              <w:rPr>
                <w:b/>
              </w:rPr>
              <w:t>14</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pPr>
            <w:r>
              <w:rPr/>
              <w:t>Remeasurement of defined benefit plans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19</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pPr>
            <w:r>
              <w:rPr/>
              <w:t>Income tax impact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7775" w:type="dxa"/>
            <w:tcBorders/>
            <w:shd w:fill="CCEEFF" w:val="clear"/>
            <w:tcMar>
              <w:bottom w:w="0" w:type="dxa"/>
            </w:tcMar>
            <w:vAlign w:val="center"/>
          </w:tcPr>
          <w:p>
            <w:pPr>
              <w:pStyle w:val="TableContents"/>
              <w:bidi w:val="0"/>
              <w:spacing w:before="0" w:after="283"/>
              <w:jc w:val="left"/>
              <w:rPr>
                <w:b/>
              </w:rPr>
            </w:pPr>
            <w:r>
              <w:rPr>
                <w:b/>
              </w:rPr>
              <w:t>Other comprehensive (loss) / income for the period,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(322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24</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(53,558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(26,094</w:t>
            </w:r>
          </w:p>
        </w:tc>
        <w:tc>
          <w:tcPr>
            <w:tcW w:w="110" w:type="dxa"/>
            <w:tcBorders/>
            <w:shd w:fill="FFFFFF" w:val="clear"/>
            <w:tcMar>
              <w:bottom w:w="0" w:type="dxa"/>
            </w:tcMar>
            <w:vAlign w:val="center"/>
          </w:tcPr>
          <w:p>
            <w:pPr>
              <w:pStyle w:val="TableContents"/>
              <w:bidi w:val="0"/>
              <w:spacing w:before="0" w:after="283"/>
              <w:ind w:left="0" w:right="0" w:hanging="180"/>
              <w:jc w:val="left"/>
              <w:rPr>
                <w:b/>
              </w:rPr>
            </w:pPr>
            <w:r>
              <w:rPr>
                <w:b/>
              </w:rPr>
              <w:t>)</w:t>
            </w:r>
          </w:p>
        </w:tc>
      </w:tr>
      <w:tr>
        <w:trPr/>
        <w:tc>
          <w:tcPr>
            <w:tcW w:w="77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FFFFFF" w:val="clear"/>
            <w:tcMar>
              <w:bottom w:w="0" w:type="dxa"/>
            </w:tcMar>
            <w:vAlign w:val="center"/>
          </w:tcPr>
          <w:p>
            <w:pPr>
              <w:pStyle w:val="TableContents"/>
              <w:bidi w:val="0"/>
              <w:spacing w:before="0" w:after="283"/>
              <w:jc w:val="left"/>
              <w:rPr>
                <w:b/>
              </w:rPr>
            </w:pPr>
            <w:r>
              <w:rPr>
                <w:b/>
              </w:rPr>
              <w:t>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7775" w:type="dxa"/>
            <w:tcBorders/>
            <w:shd w:fill="CCEEFF" w:val="clear"/>
            <w:tcMar>
              <w:bottom w:w="0" w:type="dxa"/>
            </w:tcMar>
            <w:vAlign w:val="center"/>
          </w:tcPr>
          <w:p>
            <w:pPr>
              <w:pStyle w:val="TableContents"/>
              <w:bidi w:val="0"/>
              <w:spacing w:before="0" w:after="283"/>
              <w:jc w:val="left"/>
              <w:rPr/>
            </w:pPr>
            <w:r>
              <w:rPr/>
              <w:t>Basic losses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(3.8</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7775" w:type="dxa"/>
            <w:tcBorders/>
            <w:shd w:fill="FFFFFF" w:val="clear"/>
            <w:tcMar>
              <w:bottom w:w="0" w:type="dxa"/>
            </w:tcMar>
            <w:vAlign w:val="center"/>
          </w:tcPr>
          <w:p>
            <w:pPr>
              <w:pStyle w:val="TableContents"/>
              <w:bidi w:val="0"/>
              <w:spacing w:before="0" w:after="283"/>
              <w:jc w:val="left"/>
              <w:rPr/>
            </w:pPr>
            <w:r>
              <w:rPr/>
              <w:t>Diluted losses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(3.8</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830"/>
        <w:gridCol w:w="60"/>
        <w:gridCol w:w="80"/>
        <w:gridCol w:w="1077"/>
        <w:gridCol w:w="127"/>
        <w:gridCol w:w="80"/>
        <w:gridCol w:w="80"/>
        <w:gridCol w:w="1016"/>
        <w:gridCol w:w="110"/>
      </w:tblGrid>
      <w:tr>
        <w:trPr/>
        <w:tc>
          <w:tcPr>
            <w:tcW w:w="68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vAlign w:val="center"/>
          </w:tcPr>
          <w:p>
            <w:pPr>
              <w:pStyle w:val="TableContents"/>
              <w:bidi w:val="0"/>
              <w:spacing w:before="0" w:after="283"/>
              <w:jc w:val="left"/>
              <w:rPr>
                <w:b/>
              </w:rPr>
            </w:pPr>
            <w:r>
              <w:rPr>
                <w:b/>
              </w:rPr>
              <w:t>CASH FLOW USED IN OPERATING ACTIVITIES</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Cash used in operations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(25,194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b/>
              </w:rPr>
            </w:pPr>
            <w:r>
              <w:rPr>
                <w:b/>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(25,194</w:t>
            </w:r>
          </w:p>
        </w:tc>
        <w:tc>
          <w:tcPr>
            <w:tcW w:w="127" w:type="dxa"/>
            <w:tcBorders/>
            <w:shd w:fill="FFFFFF" w:val="clear"/>
            <w:vAlign w:val="center"/>
          </w:tcPr>
          <w:p>
            <w:pPr>
              <w:pStyle w:val="TableContents"/>
              <w:bidi w:val="0"/>
              <w:spacing w:before="0" w:after="283"/>
              <w:jc w:val="lef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(19,956</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INVESTING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Acquisition of property, plant and equipment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(2,042</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(4,908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(2,423</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pPr>
            <w:r>
              <w:rPr/>
              <w:t>Proceeds from sale of intangible asset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Receipt of government grants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375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1,359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Change in deposits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(380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596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Purchases of subsidiary</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(500</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b/>
              </w:rPr>
            </w:pPr>
            <w:r>
              <w:rPr>
                <w:b/>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(4,970</w:t>
            </w:r>
          </w:p>
        </w:tc>
        <w:tc>
          <w:tcPr>
            <w:tcW w:w="127" w:type="dxa"/>
            <w:tcBorders/>
            <w:shd w:fill="CCEEFF" w:val="clear"/>
            <w:vAlign w:val="center"/>
          </w:tcPr>
          <w:p>
            <w:pPr>
              <w:pStyle w:val="TableContents"/>
              <w:bidi w:val="0"/>
              <w:spacing w:before="0" w:after="283"/>
              <w:jc w:val="lef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(3,145</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pPr>
            <w:r>
              <w:rPr/>
              <w:t>Proceeds from borrowings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43,518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Repayment of borrowings and lease liabilities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(1,123</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(1,588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(407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6830" w:type="dxa"/>
            <w:tcBorders/>
            <w:shd w:fill="CCEEFF" w:val="clear"/>
            <w:vAlign w:val="center"/>
          </w:tcPr>
          <w:p>
            <w:pPr>
              <w:pStyle w:val="TableContents"/>
              <w:bidi w:val="0"/>
              <w:spacing w:before="0" w:after="283"/>
              <w:jc w:val="left"/>
              <w:rPr/>
            </w:pPr>
            <w:r>
              <w:rPr/>
              <w:t>Proceeds from capital increases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68,480</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67,251</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41,523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37,087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18,422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at the beginning of the six-month period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b/>
              </w:rPr>
            </w:pPr>
            <w:r>
              <w:rPr>
                <w:b/>
              </w:rPr>
              <w:t>73,762</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b/>
              </w:rPr>
            </w:pPr>
            <w:r>
              <w:rPr>
                <w:b/>
              </w:rPr>
              <w:t>7,163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6830"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and cash equivalents at the end of the six-month period</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110,835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25,524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b_002"/>
      <w:bookmarkEnd w:id="5"/>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DISCUSSION AND ANALYSIS OF FINANCIAL CONDITION AND RESULTS OF OPERATIONS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References in this Management’s Discussion and Analysis of Financial Condition and Results of Operations (this “</w:t>
      </w:r>
      <w:r>
        <w:rPr>
          <w:rFonts w:ascii="Times New Roman;Times;Serif" w:hAnsi="Times New Roman;Times;Serif"/>
          <w:b/>
          <w:i/>
          <w:caps w:val="false"/>
          <w:smallCaps w:val="false"/>
          <w:sz w:val="20"/>
        </w:rPr>
        <w:t>Discussion and Analysis</w:t>
      </w:r>
      <w:r>
        <w:rPr>
          <w:rFonts w:ascii="Times New Roman;Times;Serif" w:hAnsi="Times New Roman;Times;Serif"/>
          <w:b w:val="false"/>
          <w:i/>
          <w:caps w:val="false"/>
          <w:smallCaps w:val="false"/>
          <w:sz w:val="20"/>
        </w:rPr>
        <w:t>”) to “Pasqal”, “the Company”, “we”, “us”, or “our” refer to Legacy Pasqal and its subsidiaries prior to the completion of the Business Combination (each as defined below) and to Pasqal Holding SA, a French société anonyme (“</w:t>
      </w:r>
      <w:r>
        <w:rPr>
          <w:rFonts w:ascii="Times New Roman;Times;Serif" w:hAnsi="Times New Roman;Times;Serif"/>
          <w:b/>
          <w:i/>
          <w:caps w:val="false"/>
          <w:smallCaps w:val="false"/>
          <w:sz w:val="20"/>
        </w:rPr>
        <w:t>New Pasqal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 its subsidiaries after giving effect to the Business Combination. This Discussion and Analysis provides information which Pasqal’s management believes is relevant to an assessment and understanding of its results of operations and financial condition. This Discussion and Analysis should be read together with Pasqal’s condensed half-year consolidated financial statements and related notes thereto that are included in Pasqal’s report on Form 6-K, to which this Discussion and Analysis is attached as an exhibit, as well as the audited consolidated financial statements and the related notes thereto for the years ended December 31, 2025 and 2024, and the section entitled “Risk Factors,” included in Pasqal’s registration statement on Form F-1. In addition to historical consolidated financial information, this Discussion and Analysis contains forward-looking statements based upon current expectations that involve risks, uncertainties and assumptions. See the section entitled “Cautionary Note Regarding Forward-Looking Statements.” Actual results and timing of selected events may differ materially from those anticipated in these forward-looking statements as a result of various factors. Discrepancies in any table between totals and sums or differences of the amounts are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and Analysis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Discussion and Analysis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Discussion and Analysis contains forward-looking statements pertaining to our strategy, future operations, financial position, projected costs, and plans. 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960" w:right="0" w:hanging="48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pPr>
            <w:r>
              <w:rPr/>
              <w:t>general economic uncertainty;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limited operating history, concentrated customer base and early-stage commercial model, which make it difficult to forecast our future results of operations and funding requirements;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possibility that quantum computing may never become commercially viable or widely adopted, and that our technology roadmap and the anticipated milestones and timing thereof may change;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need for a significant amount of additional capital to pursue our business objectives, risks relating to our outstanding indebtedness and the risk that additional financing may not be available on acceptable terms or at all, which could require us to delay, limit or substantially reduce our development efforts;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risk that our technical roadmap and plans for commercialization involve technology that is still under development and may not become available on the expected timeline or achieve the intended performance level;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scale and adapt our business and existing technology, including our manufacturing capacity, in a timely or cost-effective manner to meet customer and market demand;</w:t>
            </w:r>
          </w:p>
        </w:tc>
      </w:tr>
    </w:tbl>
    <w:p>
      <w:pPr>
        <w:pStyle w:val="TextBody"/>
        <w:bidi w:val="0"/>
        <w:spacing w:before="0" w:after="0"/>
        <w:ind w:left="960" w:right="0" w:hanging="48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pPr>
            <w:r>
              <w:rPr/>
              <w:t>the effects of competition on our future business;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competition in the quantum computing industry on a global scale, including the risk that competitors achieve technological breakthroughs that render our systems obsolete or inferior, and competitive pressures on our pricing;</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relationships with third-party providers, including cloud providers and suppliers of specialized components such as laser systems, and the risk that any disruption of or interference with our use of such providers would adversely affect our business;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reliance on future collaborative partners and our ability to establish and maintain suitable strategic partnerships;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our ability to attract and retain senior executive leadership and other key employees, including quantum physicists, software engineers and other key technical personnel;</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penetrate multiple markets, and the additional regulatory burdens and political, social and geographical risks associated with our international operations and investment commitments in France, the United States, Canada, Saudi Arabia, South Korea and the United Kingdom;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restrictions or delays in changes of control or significant investments in us due to French State influence and French foreign investment regulations, and limitations on shareholder liquidity and transferability of our securities arising therefrom;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delays or limitations in our strategic decision-making due to our governance structure and restrictions under French law, including the strategic committee established at the level of Pasqal SAS and the business allocation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obtain and maintain patent protection for our technology and the risk that the scope of patent protection obtained is not sufficiently broad or robust, including risks arising from license and co-ownership arrangements originating in academic research and from our use of open-source software;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cybersecurity, physical hardware and human-related security risks that could result in significant operational disruption, financial loss, legal liability or reputational harm;</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dependence on contracts with French and other governmental entities and the European Commission, which are subject to public procurement processes, budgetary constraints and changes in government priorities, and the risk that government grants may be reduced, cancelled or required to be repaid;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risks arising from litigation, investigations and regulatory proceedings, including product liability claims and environmental and safety regulation;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status as a foreign private issuer, which exempts us from certain provisions applicable to United States domestic public companies and the additional costs we would incur if that status were lost, and the difficulties investors may face in protecting their interests because we are organized under the laws of France, including limitations on the ability to enforce rights through the U.S. federal courts;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potential litigation, governmental or regulatory proceedings, investigations or inquiries involving us, including in relation to the Business Combination;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international, national or local economic, social, political or legal conditions that could adversely affect us and our business;</w:t>
            </w:r>
          </w:p>
        </w:tc>
      </w:tr>
    </w:tbl>
    <w:p>
      <w:pPr>
        <w:pStyle w:val="TextBody"/>
        <w:bidi w:val="0"/>
        <w:spacing w:before="0" w:after="0"/>
        <w:ind w:left="960" w:right="0" w:hanging="48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left"/>
              <w:rPr/>
            </w:pPr>
            <w:r>
              <w:rPr/>
              <w:t>the effectiveness of our internal controls and our corporate policies and procedures;</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impact of and changes in governmental regulations or the enforcement thereof, tax laws and rates, including French tax legislation, limitations on the deductibility of interest and on the use of our tax loss carry-forwards, accounting guidance and similar matters in regions in which we operate or will operate in the future;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volatility of the market price and liquidity of the Ordinary Shares and the Warrants and our ability to maintain the listing of our Ordinary Shares and Warrants on Nasdaq and operate as a public company;</w:t>
            </w:r>
          </w:p>
        </w:tc>
      </w:tr>
    </w:tbl>
    <w:p>
      <w:pPr>
        <w:pStyle w:val="TextBody"/>
        <w:bidi w:val="0"/>
        <w:spacing w:before="0" w:after="0"/>
        <w:ind w:left="960" w:right="0" w:hanging="48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pPr>
            <w:r>
              <w:rPr/>
              <w:t>risks relating to any unforeseen liabilities of the Company;</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restrictions and oversight arising from our governance arrangements with Bpifrance and under French law, including the strategic committee of Pasqal SAS and the business allocation agreement;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failure to obtain lender consent, industry partner and other third party consents and approvals, when required;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changes in our strategy, future operations, financial position, estimated revenues and losses, projected costs, prospects and plans;</w:t>
            </w:r>
          </w:p>
        </w:tc>
      </w:tr>
    </w:tbl>
    <w:p>
      <w:pPr>
        <w:pStyle w:val="TextBody"/>
        <w:bidi w:val="0"/>
        <w:spacing w:before="0" w:after="0"/>
        <w:ind w:left="960" w:right="0" w:hanging="48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pPr>
            <w:r>
              <w:rPr/>
              <w:t>our expectations with respect to market opportunity and market growth;</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960" w:right="0" w:hanging="48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t>the potential for our quantum computing technology to achieve quantum advantage;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expectations regarding the time during which we will be an emerging growth company under the Jumpstart Our Business Startups Act of 2012 (the “</w:t>
            </w:r>
            <w:r>
              <w:rPr>
                <w:b/>
              </w:rPr>
              <w:t>JOBS Act</w:t>
            </w:r>
            <w:r>
              <w:rPr/>
              <w:t>”);</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expansion plans and opportunities, including risks related to the rollout of the Company’s business and expansion strategy;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need to obtain required approvals from regulatory authorities, including under French foreign investment control and applicable export control regimes.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Discussion and Analysis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our filings with the U.S. Securities and Exchange Commission (www.sec.gov).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Legacy Pasqal (each as defined below); assumptions that none of the risks identified in this Discussion and Analysis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builds and develops neutral-atom quantum processing units (“</w:t>
      </w:r>
      <w:r>
        <w:rPr>
          <w:rFonts w:ascii="Times New Roman;Times;Serif" w:hAnsi="Times New Roman;Times;Serif"/>
          <w:b/>
          <w:i w:val="false"/>
          <w:caps w:val="false"/>
          <w:smallCaps w:val="false"/>
          <w:sz w:val="20"/>
        </w:rPr>
        <w:t>QPUs</w:t>
      </w:r>
      <w:r>
        <w:rPr>
          <w:rFonts w:ascii="Times New Roman;Times;Serif" w:hAnsi="Times New Roman;Times;Serif"/>
          <w:b w:val="false"/>
          <w:i w:val="false"/>
          <w:caps w:val="false"/>
          <w:smallCaps w:val="false"/>
          <w:sz w:val="20"/>
        </w:rPr>
        <w:t>”), designed to deliver scalable quantum computing capabilities. Its technology is designed to support deployment in standard data center environments and enable high-performance quantum computing across a range of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employs a modular approach to its neutral-atom processors, enabling the expansion of qubit arrays without compromising performance or fidelity. Its technology supports the arrangement of large numbers of neutral atoms in both two- and three-dimensional configurations, paving the way for systems with tens of thousands of physical qubits and hundreds of logical qubits by the end of this decade.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neutral-atom technology is designed to address complex computational challenges across a range of industries, such as energy and utilities, finance, high value materials and manufacturing, healthcare and pharmaceuticals, logistics, aerospace and defense, and artificial intelligence. Pasqal works with a diverse set of customers and strategic partners globally, including IBM (Pasqal is part of the IBM quantum network), NVIDIA, Google, Microsoft, and leading high-performance computing centers such as GENCI/CEA (“</w:t>
      </w:r>
      <w:r>
        <w:rPr>
          <w:rFonts w:ascii="Times New Roman;Times;Serif" w:hAnsi="Times New Roman;Times;Serif"/>
          <w:b/>
          <w:i w:val="false"/>
          <w:caps w:val="false"/>
          <w:smallCaps w:val="false"/>
          <w:sz w:val="20"/>
        </w:rPr>
        <w:t>GENCI</w:t>
      </w:r>
      <w:r>
        <w:rPr>
          <w:rFonts w:ascii="Times New Roman;Times;Serif" w:hAnsi="Times New Roman;Times;Serif"/>
          <w:b w:val="false"/>
          <w:i w:val="false"/>
          <w:caps w:val="false"/>
          <w:smallCaps w:val="false"/>
          <w:sz w:val="20"/>
        </w:rPr>
        <w:t>”), CINECA, and Forschungszentrum Jülich.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continues to invest in research partnerships and cloud-delivery capabilities to advance the practical adoption of quantum computing and expand the range of real-world applications supported by its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signing of the Agreement and Plan of Merger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on February 28, 2026, Pasqal SAS effected an internal reorganization (the “</w:t>
      </w:r>
      <w:r>
        <w:rPr>
          <w:rFonts w:ascii="Times New Roman;Times;Serif" w:hAnsi="Times New Roman;Times;Serif"/>
          <w:b/>
          <w:i w:val="false"/>
          <w:caps w:val="false"/>
          <w:smallCaps w:val="false"/>
          <w:sz w:val="20"/>
        </w:rPr>
        <w:t>Pasqal Reorganization</w:t>
      </w:r>
      <w:r>
        <w:rPr>
          <w:rFonts w:ascii="Times New Roman;Times;Serif" w:hAnsi="Times New Roman;Times;Serif"/>
          <w:b w:val="false"/>
          <w:i w:val="false"/>
          <w:caps w:val="false"/>
          <w:smallCaps w:val="false"/>
          <w:sz w:val="20"/>
        </w:rPr>
        <w:t>”), pursuant to which Pasqal SAS and its subsidiaries became the wholly-owned subsidiaries of Pasqal Holding SAS, a French </w:t>
      </w:r>
      <w:r>
        <w:rPr>
          <w:rFonts w:ascii="Times New Roman;Times;Serif" w:hAnsi="Times New Roman;Times;Serif"/>
          <w:b w:val="false"/>
          <w:i/>
          <w:caps w:val="false"/>
          <w:smallCaps w:val="false"/>
          <w:sz w:val="20"/>
        </w:rPr>
        <w:t>société par actions simplifiée</w:t>
      </w:r>
      <w:r>
        <w:rPr>
          <w:rFonts w:ascii="Times New Roman;Times;Serif" w:hAnsi="Times New Roman;Times;Serif"/>
          <w:b w:val="false"/>
          <w:i w:val="false"/>
          <w:caps w:val="false"/>
          <w:smallCaps w:val="false"/>
          <w:sz w:val="20"/>
        </w:rPr>
        <w:t> and a new holding company (“</w:t>
      </w:r>
      <w:r>
        <w:rPr>
          <w:rFonts w:ascii="Times New Roman;Times;Serif" w:hAnsi="Times New Roman;Times;Serif"/>
          <w:b/>
          <w:i w:val="false"/>
          <w:caps w:val="false"/>
          <w:smallCaps w:val="false"/>
          <w:sz w:val="20"/>
        </w:rPr>
        <w:t>Legacy Pasqal</w:t>
      </w:r>
      <w:r>
        <w:rPr>
          <w:rFonts w:ascii="Times New Roman;Times;Serif" w:hAnsi="Times New Roman;Times;Serif"/>
          <w:b w:val="false"/>
          <w:i w:val="false"/>
          <w:caps w:val="false"/>
          <w:smallCaps w:val="false"/>
          <w:sz w:val="20"/>
        </w:rPr>
        <w:t>”). Following the consummation of the Pasqal Reorganization, Legacy Pasqal owned 100% of the share capital of Pasqal SAS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 Combination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Bleichroeder Acquisition Corp. II (“</w:t>
      </w:r>
      <w:r>
        <w:rPr>
          <w:rFonts w:ascii="Times New Roman;Times;Serif" w:hAnsi="Times New Roman;Times;Serif"/>
          <w:b/>
          <w:i w:val="false"/>
          <w:caps w:val="false"/>
          <w:smallCaps w:val="false"/>
          <w:sz w:val="20"/>
        </w:rPr>
        <w:t>Bleichroeder</w:t>
      </w:r>
      <w:r>
        <w:rPr>
          <w:rFonts w:ascii="Times New Roman;Times;Serif" w:hAnsi="Times New Roman;Times;Serif"/>
          <w:b w:val="false"/>
          <w:i w:val="false"/>
          <w:caps w:val="false"/>
          <w:smallCaps w:val="false"/>
          <w:sz w:val="20"/>
        </w:rPr>
        <w:t>”), a special purpose acquisition company, Bleichroeder Acquisition France Merger Sub 2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 wholly-owned subsidiary of Bleichroeder, and Pasqal consummated the Business Combination, pursuant to which, among other things: (i) Bleichroeder merged with and into Merger Sub (the “</w:t>
      </w:r>
      <w:r>
        <w:rPr>
          <w:rFonts w:ascii="Times New Roman;Times;Serif" w:hAnsi="Times New Roman;Times;Serif"/>
          <w:b/>
          <w:i w:val="false"/>
          <w:caps w:val="false"/>
          <w:smallCaps w:val="false"/>
          <w:sz w:val="20"/>
        </w:rPr>
        <w:t>Reincorporation Merger</w:t>
      </w:r>
      <w:r>
        <w:rPr>
          <w:rFonts w:ascii="Times New Roman;Times;Serif" w:hAnsi="Times New Roman;Times;Serif"/>
          <w:b w:val="false"/>
          <w:i w:val="false"/>
          <w:caps w:val="false"/>
          <w:smallCaps w:val="false"/>
          <w:sz w:val="20"/>
        </w:rPr>
        <w:t>”), with Merger Sub remaining as the surviving company (the “</w:t>
      </w:r>
      <w:r>
        <w:rPr>
          <w:rFonts w:ascii="Times New Roman;Times;Serif" w:hAnsi="Times New Roman;Times;Serif"/>
          <w:b/>
          <w:i w:val="false"/>
          <w:caps w:val="false"/>
          <w:smallCaps w:val="false"/>
          <w:sz w:val="20"/>
        </w:rPr>
        <w:t>Bleichroeder Surviving Corporation</w:t>
      </w:r>
      <w:r>
        <w:rPr>
          <w:rFonts w:ascii="Times New Roman;Times;Serif" w:hAnsi="Times New Roman;Times;Serif"/>
          <w:b w:val="false"/>
          <w:i w:val="false"/>
          <w:caps w:val="false"/>
          <w:smallCaps w:val="false"/>
          <w:sz w:val="20"/>
        </w:rPr>
        <w:t>”) and (ii) Pasqal merged with and into Bleichroeder Surviving Corporation, with Bleichroeder Surviving Corporation continuing as the surviving entity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Following the consummation of the Business Combination, Bleichroeder Surviving Corporation changed its name to Pasqal Holding SA.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each then issued and outstanding “Class Seed” ordinary share, common ordinary share, “Class A” ordinary share, “Class B” ordinary share and “Class C” ordinary share of Legacy Pasqal, in each case with a par value of €0.10 per share, was exchanged for New Pasqal ordinary shares using an exchange ratio of approximately 22.736, resulting in the issuance of 199,999,960 New Pasqal ordinary shares to the former shareholders of Legacy Pasqal.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capital reorganization in accordance with IFRS as issued by the IASB (as defined below). Under this method of accounting, Bleichroeder is treated as the “acquired” company for financial reporting purposes, and Legacy Pasqal is the accounting “acquirer”. The Business Combination is treated as the equivalent of New Pasqal issuing its ordinary shares in exchange for the net assets of Bleichroeder. As a result, the net assets of Bleichroeder are stated at historical cost, with no goodwill or other intangible assets recorded. In accordance with IFRS 2 (as defined below),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for the Business Combination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concurrently with the closing of the Business Combination, Pasqal consummated a financing pursuant to the securities purchase agreement dated as of March 4, 2026 and as amended on May 23, 2026 entered into by Bleichroeder and Merger Sub with certain investors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whereby New Pasqal issued $312.5 million aggregate principal amount of senior unsecured convertible bonds initially convertible into 26,041,667 New Pasqal ordinary shares (the “</w:t>
      </w:r>
      <w:r>
        <w:rPr>
          <w:rFonts w:ascii="Times New Roman;Times;Serif" w:hAnsi="Times New Roman;Times;Serif"/>
          <w:b/>
          <w:i w:val="false"/>
          <w:caps w:val="false"/>
          <w:smallCaps w:val="false"/>
          <w:sz w:val="20"/>
        </w:rPr>
        <w:t>Senior Unsecured Convertible Bonds</w:t>
      </w:r>
      <w:r>
        <w:rPr>
          <w:rFonts w:ascii="Times New Roman;Times;Serif" w:hAnsi="Times New Roman;Times;Serif"/>
          <w:b w:val="false"/>
          <w:i w:val="false"/>
          <w:caps w:val="false"/>
          <w:smallCaps w:val="false"/>
          <w:sz w:val="20"/>
        </w:rPr>
        <w:t>”) and 32,552,083 warrants initially exercisable at $12.00 per New Pasqal ordinary share (the “</w:t>
      </w:r>
      <w:r>
        <w:rPr>
          <w:rFonts w:ascii="Times New Roman;Times;Serif" w:hAnsi="Times New Roman;Times;Serif"/>
          <w:b/>
          <w:i w:val="false"/>
          <w:caps w:val="false"/>
          <w:smallCaps w:val="false"/>
          <w:sz w:val="20"/>
        </w:rPr>
        <w:t>Investment Warrants</w:t>
      </w:r>
      <w:r>
        <w:rPr>
          <w:rFonts w:ascii="Times New Roman;Times;Serif" w:hAnsi="Times New Roman;Times;Serif"/>
          <w:b w:val="false"/>
          <w:i w:val="false"/>
          <w:caps w:val="false"/>
          <w:smallCaps w:val="false"/>
          <w:sz w:val="20"/>
        </w:rPr>
        <w:t>”), for an aggregate subscription price of $250.0 million, reflecting a 20% original issue discount in the private placement (the “</w:t>
      </w:r>
      <w:r>
        <w:rPr>
          <w:rFonts w:ascii="Times New Roman;Times;Serif" w:hAnsi="Times New Roman;Times;Serif"/>
          <w:b/>
          <w:i w:val="false"/>
          <w:caps w:val="false"/>
          <w:smallCaps w:val="false"/>
          <w:sz w:val="20"/>
        </w:rPr>
        <w:t>March 2026 Financing</w:t>
      </w:r>
      <w:r>
        <w:rPr>
          <w:rFonts w:ascii="Times New Roman;Times;Serif" w:hAnsi="Times New Roman;Times;Serif"/>
          <w:b w:val="false"/>
          <w:i w:val="false"/>
          <w:caps w:val="false"/>
          <w:smallCaps w:val="false"/>
          <w:sz w:val="20"/>
        </w:rPr>
        <w:t>”). The Investment Warrants are currently exercisable and will expire five years from the Closing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Unsecured Convertible Bonds and the Investment Warrants were accounted for in accordance with International Accounting Standards (“</w:t>
      </w:r>
      <w:r>
        <w:rPr>
          <w:rFonts w:ascii="Times New Roman;Times;Serif" w:hAnsi="Times New Roman;Times;Serif"/>
          <w:b/>
          <w:i w:val="false"/>
          <w:caps w:val="false"/>
          <w:smallCaps w:val="false"/>
          <w:sz w:val="20"/>
        </w:rPr>
        <w:t>IAS</w:t>
      </w:r>
      <w:r>
        <w:rPr>
          <w:rFonts w:ascii="Times New Roman;Times;Serif" w:hAnsi="Times New Roman;Times;Serif"/>
          <w:b w:val="false"/>
          <w:i w:val="false"/>
          <w:caps w:val="false"/>
          <w:smallCaps w:val="false"/>
          <w:sz w:val="20"/>
        </w:rPr>
        <w:t>”) 32, </w:t>
      </w:r>
      <w:r>
        <w:rPr>
          <w:rFonts w:ascii="Times New Roman;Times;Serif" w:hAnsi="Times New Roman;Times;Serif"/>
          <w:b w:val="false"/>
          <w:i/>
          <w:caps w:val="false"/>
          <w:smallCaps w:val="false"/>
          <w:sz w:val="20"/>
        </w:rPr>
        <w:t>Financial Instruments: Presentation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IAS 32</w:t>
      </w:r>
      <w:r>
        <w:rPr>
          <w:rFonts w:ascii="Times New Roman;Times;Serif" w:hAnsi="Times New Roman;Times;Serif"/>
          <w:b w:val="false"/>
          <w:i w:val="false"/>
          <w:caps w:val="false"/>
          <w:smallCaps w:val="false"/>
          <w:sz w:val="20"/>
        </w:rPr>
        <w:t>”) and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IFRS 9</w:t>
      </w:r>
      <w:r>
        <w:rPr>
          <w:rFonts w:ascii="Times New Roman;Times;Serif" w:hAnsi="Times New Roman;Times;Serif"/>
          <w:b w:val="false"/>
          <w:i w:val="false"/>
          <w:caps w:val="false"/>
          <w:smallCaps w:val="false"/>
          <w:sz w:val="20"/>
        </w:rPr>
        <w:t>”). The Senior Unsecured Convertible Bonds require settlement through the delivery of a variable number of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w:t>
      </w:r>
      <w:r>
        <w:rPr>
          <w:rFonts w:ascii="Times New Roman;Times;Serif" w:hAnsi="Times New Roman;Times;Serif"/>
          <w:b/>
          <w:i w:val="false"/>
          <w:caps w:val="false"/>
          <w:smallCaps w:val="false"/>
          <w:sz w:val="20"/>
        </w:rPr>
        <w:t>FVTPL</w:t>
      </w:r>
      <w:r>
        <w:rPr>
          <w:rFonts w:ascii="Times New Roman;Times;Serif" w:hAnsi="Times New Roman;Times;Serif"/>
          <w:b w:val="false"/>
          <w:i w:val="false"/>
          <w:caps w:val="false"/>
          <w:smallCaps w:val="false"/>
          <w:sz w:val="20"/>
        </w:rPr>
        <w:t>”),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Achievements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Pasqal’s potential commercial opportunities depend on its ability to demonstrate the technological feasibility and performance of its neutral-atom quantum computing platform and to continue advancing its technology in a timely manner in order to remain competitive in a rapidly evolving industry. Achieving these objectives requires the successful execution of several technological milestones, including scaling hardware capacity, improving qubit performance, and further developing the software and cloud infrastructure supporting Pasqal’s products and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technology development strategy combines two complementary approaches. In the near term, Pasqal is advancing analog quantum computing capabilities based on physical qubits, which may support the development of initial commercial applications. At the same time, Pasqal continues to pursue a longer-term roadmap focused on digital fault-tolerant quantum computing, which aims to address errors that may occur during quantum computations.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along this roadmap is generally assessed through a number of technical performance indicators, including the number of qubits available in a system, the repetition rate of quantum operations, and the fidelity of quantum gate operations. Improvements in these metrics are expected to contribute over time to the performance and scalability of Pasqal’s quantum computing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also investing in a range of supporting technologies designed to enhance the performance and scalability of its hardware platform. Among these technologies are photonic integrated circuits (“</w:t>
      </w:r>
      <w:r>
        <w:rPr>
          <w:rFonts w:ascii="Times New Roman;Times;Serif" w:hAnsi="Times New Roman;Times;Serif"/>
          <w:b/>
          <w:i w:val="false"/>
          <w:caps w:val="false"/>
          <w:smallCaps w:val="false"/>
          <w:sz w:val="20"/>
        </w:rPr>
        <w:t>PICs</w:t>
      </w:r>
      <w:r>
        <w:rPr>
          <w:rFonts w:ascii="Times New Roman;Times;Serif" w:hAnsi="Times New Roman;Times;Serif"/>
          <w:b w:val="false"/>
          <w:i w:val="false"/>
          <w:caps w:val="false"/>
          <w:smallCaps w:val="false"/>
          <w:sz w:val="20"/>
        </w:rPr>
        <w:t>”), which are being explored as part of Pasqal’s hardware architecture and may contribute to improved qubit control and system integration. PICs represent one element within a broader set of enabling technologies under development as part of Pasqal’s research and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remains subject to significant technological uncertainty and rapid innovation. Competing quantum computing architectures, as well as alternative computing approaches, including advances in classical high-performance computing and artificial intelligence, may affect the pace of adoption of quantum computing technologies. As a result, Pasqal’s ability to develop commercially viable solutions will depend in part on its capacity to execute its technology roadmap while adapting to technological developments and competitive dynamics within the broader computing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NVIDIA’s CUDA-Q Integration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Pasqal announced the integration of NVIDIA’s CUDA-Q platform with its Quantum Resource Management Interface runtime, enabling quantum workloads to be scheduled and orchestrated on Pasqal quantum systems through standard high-performance computing (“</w:t>
      </w:r>
      <w:r>
        <w:rPr>
          <w:rFonts w:ascii="Times New Roman;Times;Serif" w:hAnsi="Times New Roman;Times;Serif"/>
          <w:b/>
          <w:i w:val="false"/>
          <w:caps w:val="false"/>
          <w:smallCaps w:val="false"/>
          <w:sz w:val="20"/>
        </w:rPr>
        <w:t>HPC</w:t>
      </w:r>
      <w:r>
        <w:rPr>
          <w:rFonts w:ascii="Times New Roman;Times;Serif" w:hAnsi="Times New Roman;Times;Serif"/>
          <w:b w:val="false"/>
          <w:i w:val="false"/>
          <w:caps w:val="false"/>
          <w:smallCaps w:val="false"/>
          <w:sz w:val="20"/>
        </w:rPr>
        <w:t>”) workflows. The integration is designed to facilitate hybrid GPU-QPU computing environments and support broader adoption of quantum computing within existing HPC infrastructures. Pasqal expects to deploy its on-premises software stack at CINECA, integrating its quantum processor with the Leonardo supercomputer to support hybrid GPU-QPU workloads.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Experimental Validation of Quantum Simulation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Pasqal and its academic partners used up to 256 atoms on Pasqal’s Orion Beta QPUs to simulate the magnetic material TmMgGaO₄ and compared the results against laboratory measurements on crystals of that material. The work was conducted with Los Alamos National Laboratory, the National High Magnetic Field Laboratory at Florida State University and the University of Tennessee, and was among the studies cited by Nature on March 30, 2026 in its coverage of quantum simulations being verified against experimental data for the first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Collaboration with True Nexus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2026, Pasqal entered into a strategic collaboration with True Nexus to apply quantum computing technology to the modeling and prediction of protein functionality in food applications. As part of the collaboration, the parties achieved an initial milestone by successfully encoding selected protein structures associated with protein gelation on Pasqal’s quantum hardware, representing an early step toward developing computational tools to predict and optimize protein functionality for food and biotechnology applications.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PROQCIMA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2026, Pasqal presented the results of its work to experts from the French Direction Générale de l’Armement and members of the scientific community appointed by the Agence Nationale de la Recherche. The demonstration was designed to evidence a repeatable and robust capability rather than an isolated experimental result. The PROQCIMA agreement, led by the French Ministry of Armed Forces under the France 2030 investment plan and the national quantum technologies strategy, aims to support the development of two quantum computers with 128 logical qubits by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Scaling of the Qubit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Pasqal prepared defect-free registers of 1,024 atoms, doubling its previous result of 506 atoms, and extended atom lifetimes approximately 40-fold through a redesigned cryogenic platform. Registers at this scale provide the overhead in physical qubits required for quantum error correction.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XPRIZE Quantum Applications Competition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Pasqal was selected as one of five wildcard finalists, from 62 wildcard submissions, to advance into Phase II of the XPRIZE Quantum Applications competition, a three-year, $5 million global competition evaluating quantified impact, hardware feasibility and advantage over classical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Quantum Computing Deployment in Saudi Arabia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Pasqal and Saudi Arabian Oil Company inaugurated Saudi Arabia’s first quantum computer and launched the region’s first commercial Quantum Computing as a Service (QCaaS) platform. The platform, powered by Pasqal’s 200-qubit neutral-atom quantum processor and hosted at Aramco’s data center in Dhahran, provides cloud-based access to quantum computing capabilities for industrial, research, and commercial applications. The collaboration supports the development of quantum use cases across energy, materials, logistics, and other industrial sectors.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Milestone in Logical Qubit Computing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Pasqal announced that it had successfully executed a full machine-learning application for solving differential equations using logical qubits and demonstrated that the logical implementation outperformed its physical-qubit counterparts, in what the Company believes to be the first such comparison on a full application rather than on isolated sub-routines. Progress toward fault-tolerant architectures remains subject to substantial further technical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Deployment of Quantum Computer at CINECA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Pasqal announced the inauguration of Italy’s first neutral-atom quantum computer, a 140-qubit system deployed at CINECA, Italy’s largest public supercomputing center. The system is intended to be integrated with the Leonardo supercomputer to support hybrid quantum and HPC workloads and forms part of the EuroHPC initiative to expand Europe’s federated HPC-quantum infrastructure. Upon commissioning, the deployment will represent Pasqal’s third EuroHPC-linked quantum system in Europe and will further expand the Company’s installed base of quantum computing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Aeponyx PICs Packaging Center of Competency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Pasqal launched, through its Canadian subsidiary Aeponyx Enterprises Inc. (“</w:t>
      </w:r>
      <w:r>
        <w:rPr>
          <w:rFonts w:ascii="Times New Roman;Times;Serif" w:hAnsi="Times New Roman;Times;Serif"/>
          <w:b/>
          <w:i w:val="false"/>
          <w:caps w:val="false"/>
          <w:smallCaps w:val="false"/>
          <w:sz w:val="20"/>
        </w:rPr>
        <w:t>Aeponyx</w:t>
      </w:r>
      <w:r>
        <w:rPr>
          <w:rFonts w:ascii="Times New Roman;Times;Serif" w:hAnsi="Times New Roman;Times;Serif"/>
          <w:b w:val="false"/>
          <w:i w:val="false"/>
          <w:caps w:val="false"/>
          <w:smallCaps w:val="false"/>
          <w:sz w:val="20"/>
        </w:rPr>
        <w:t>”), a Center of Competency in PICs Packaging at the C2MI in Bromont, Quebec, intended to establish a domestic Canadian supply chain supporting the photonic layer of Pasqal’s hardware roadmap. In August 2026, 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business is supported by continued growth in commercial activity through (i) sales of QPUs and (ii) sales of QPU-related services mainly consisting of research and development services and QPU upgrade services. Pasqal’s revenue was €4.9 million for the six months ended June 30, 2026 compared to €4.3 million for the six months ended June 30, 2025; the 14% revenue growth was primarily attributable to the timing of revenue recognition associated with the QPU upgrade under the Forschungszentrum Jülich contract. Revenue may fluctuate between periods based on project milestones and the performance of services. For example, although the Saudi Arabian Oil Company QPUs were commissioned during the period and entered its operational phase, the revenue associated with the related services is expected to be recognized in future periods as those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Funding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Pasqal’s business is conducted with various governments, consisting of the governments and government agencies in Europe, Canada, United States of America, and South Korea. Since many of Pasqal’s government customers and government funding programs are subject to budget constraints, Pasqal’s continued performance under these contracts or award of additional contracts from these agencies, could be jeopardized by governmental regulations, public procurement processes and spending reductions or budget cutbacks from the governments and government agencies. As a result, the changes in government spending levels and the timely funding thereof could impact Pasqal’s financial performance. The long-term outlook for Pasqal’s business is influenced by government funding priorities, the diversity of Pasqal’s programs and customers, and Pasqal’s ability to evolve its products and services and successfully execute on its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Strategic Partnerships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future growth depends in part on its ability to identify, establish, and maintain strategic partnerships. Historically, Pasqal has relied upon third parties to operate its platform, house some of its systems, provide its services, and provide certain specialized components, such as laser components, to operate its business. Any disruption to, or interference with, Pasqal’s reliance on these third-party providers or facilities could adversely affect its business, results of operations, and financial condition. Pasqal expects to continue evaluating and pursuing additional academic, institutional, and commercial partnership opportunities that are complementary to its technology roadmap and long-term business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Collaboration with KACST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Pasqal entered into a research collaboration agreement with King Abdulaziz City for Science and Technology (“</w:t>
      </w:r>
      <w:r>
        <w:rPr>
          <w:rFonts w:ascii="Times New Roman;Times;Serif" w:hAnsi="Times New Roman;Times;Serif"/>
          <w:b/>
          <w:i w:val="false"/>
          <w:caps w:val="false"/>
          <w:smallCaps w:val="false"/>
          <w:sz w:val="20"/>
        </w:rPr>
        <w:t>KACST</w:t>
      </w:r>
      <w:r>
        <w:rPr>
          <w:rFonts w:ascii="Times New Roman;Times;Serif" w:hAnsi="Times New Roman;Times;Serif"/>
          <w:b w:val="false"/>
          <w:i w:val="false"/>
          <w:caps w:val="false"/>
          <w:smallCaps w:val="false"/>
          <w:sz w:val="20"/>
        </w:rPr>
        <w: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Memorandum of Understanding with Eleven Ventures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Pasqal announced a memorandum of understanding (the “</w:t>
      </w:r>
      <w:r>
        <w:rPr>
          <w:rFonts w:ascii="Times New Roman;Times;Serif" w:hAnsi="Times New Roman;Times;Serif"/>
          <w:b/>
          <w:i w:val="false"/>
          <w:caps w:val="false"/>
          <w:smallCaps w:val="false"/>
          <w:sz w:val="20"/>
        </w:rPr>
        <w:t>Saudi MoU</w:t>
      </w:r>
      <w:r>
        <w:rPr>
          <w:rFonts w:ascii="Times New Roman;Times;Serif" w:hAnsi="Times New Roman;Times;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No definitive agreements have been entered into and, accordingly, no financial effect has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Partnership with USA Rare Earth and Riven Systems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Pasqal announced a strategic partnership with USA Rare Earth and Riven Systems to develop next-generation separation technology for the rare earth value chain. Using quantum machine learning, the project aims to identify new separation molecules that bind more effectively to rare earths than existing alternatives, enabling smaller, lower-cost, less energy-intensive processing facilities. The partnership brings together Riven Systems’ self-driving minerals separation laboratory and Pasqal’s quantum computing power with USA Rare Earth’s rare earth processing expertise. Under the planned project, Riven Systems would conduct thousands of automated experiments and generate the training data needed to build machine learning models of extractant selectivity for rare earth elements. Pasqal’s neutral atom QPU would then benchmark quantum machine learning models against classical computing-based models (each trained on data from the self-driving lab) to support USA Rare Earth in optimizing extractant selection.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Considerations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results of operations may be affected by broader macroeconomic, geopolitical, and industry conditions, including inflation, U.S. custom tariffs, interest rates, supply chain constraints, evolving trade policies, government funding priorities, and global economic uncertainty. In addition, a portion of Pasqal’s operations and revenues is derived from projects in Saudi Arabia, and developments in the Middle East could affect project execution timelines or future contract opportunities. While Pasqal has not experienced material disruptions to date, these factors could impact future operating results, liquidity,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conducts business through one operating segment, which is the development and implementation of quantum computing solutions. Its activities have been conducted primarily in France. Pasqal’s historical results are reported in IFRS Accounting Standards as issued by the International Accounting Standards Board (“</w:t>
      </w:r>
      <w:r>
        <w:rPr>
          <w:rFonts w:ascii="Times New Roman;Times;Serif" w:hAnsi="Times New Roman;Times;Serif"/>
          <w:b/>
          <w:i w:val="false"/>
          <w:caps w:val="false"/>
          <w:smallCaps w:val="false"/>
          <w:sz w:val="20"/>
        </w:rPr>
        <w:t>IASB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generates revenue primarily through (i) sales of QPUs and (ii) sales of QPU-related services mainly consisting of research and development services and QPU upgrade services. Pasqal’s suite of products and services includes production-ready neutral atom quantum computers, its comprehensive accompanying software suite, which includes powerful solvers, developer quantum software development kits and scalable emulation tools, and cloud computing solutions. Pasqal’s product and service offerings are sold both directly to enterprise and research customers, and through partnerships with external software providers and hyperscalers who resell and integrate Pasqal’s quantum capabilities into broader solutions. Pasqal also generates revenue from sales of its cryogenic systems used in quantum technology research (“</w:t>
      </w:r>
      <w:r>
        <w:rPr>
          <w:rFonts w:ascii="Times New Roman;Times;Serif" w:hAnsi="Times New Roman;Times;Serif"/>
          <w:b/>
          <w:i w:val="false"/>
          <w:caps w:val="false"/>
          <w:smallCaps w:val="false"/>
          <w:sz w:val="20"/>
        </w:rPr>
        <w:t>Cryostat</w:t>
      </w:r>
      <w:r>
        <w:rPr>
          <w:rFonts w:ascii="Times New Roman;Times;Serif" w:hAnsi="Times New Roman;Times;Serif"/>
          <w:b w:val="false"/>
          <w:i w:val="false"/>
          <w:caps w:val="false"/>
          <w:smallCaps w:val="false"/>
          <w:sz w:val="20"/>
        </w:rPr>
        <w:t>”), which is recognized at a point in time when control transfers to the customer, generally upon delivery or acceptance as specified in the contract.</w:t>
      </w:r>
    </w:p>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primary revenue streams and related recognition policies are as follows:</w:t>
      </w:r>
    </w:p>
    <w:p>
      <w:pPr>
        <w:pStyle w:val="TextBody"/>
        <w:bidi w:val="0"/>
        <w:spacing w:before="0" w:after="0"/>
        <w:ind w:left="12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Sales of QPUs</w:t>
            </w:r>
            <w:r>
              <w:rPr>
                <w:rFonts w:ascii="Times New Roman;Times;Serif" w:hAnsi="Times New Roman;Times;Serif"/>
              </w:rPr>
              <w:t xml:space="preserve"> - Revenue is recognized at a point in time when control transfers to the customer, generally upon installation of the QPUs and acceptance by the customer, as specified in the contract.</w:t>
            </w:r>
          </w:p>
        </w:tc>
      </w:tr>
    </w:tbl>
    <w:p>
      <w:pPr>
        <w:pStyle w:val="TextBody"/>
        <w:bidi w:val="0"/>
        <w:spacing w:before="0" w:after="0"/>
        <w:ind w:left="12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Sales of QPU-related services</w:t>
            </w:r>
            <w:r>
              <w:rPr>
                <w:rFonts w:ascii="Times New Roman;Times;Serif" w:hAnsi="Times New Roman;Times;Serif"/>
              </w:rPr>
              <w:t xml:space="preserve"> - Revenue is recognized over time on a usage or straight-line basis over the service period. Revenue related to research and development services is recognized over time using the cost-to-cost method to measure progress to completion.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income represents a component of Pasqal’s operating income and primarily reflects funding received in connection with research and development activities, including programs supported by French, European and other public institutions. The level of government grant income may vary from period to period depending on the timing of project milestones, the recognition of eligible costs, and the availability of public funding programs. Government grants related to operating expenses are recognized in income over the period in which the related costs are incurred, while grants related to assets are recognized over the useful life of the underlying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Pasqal’s borrowings bear interest at rates below the prevailing market rate for comparable instruments. In accordance with IFRS 9, these borrowings were initially recognized at fair value using market borrowing rates. The difference between the cash proceeds received and the initial fair value of the loans is accounted for as a government grant under IAS 20, </w:t>
      </w:r>
      <w:r>
        <w:rPr>
          <w:rFonts w:ascii="Times New Roman;Times;Serif" w:hAnsi="Times New Roman;Times;Serif"/>
          <w:b w:val="false"/>
          <w:i/>
          <w:caps w:val="false"/>
          <w:smallCaps w:val="false"/>
          <w:sz w:val="20"/>
        </w:rPr>
        <w:t>Accounting for Government Grants and Disclosure of Government Assistance</w:t>
      </w:r>
      <w:r>
        <w:rPr>
          <w:rFonts w:ascii="Times New Roman;Times;Serif" w:hAnsi="Times New Roman;Times;Serif"/>
          <w:b w:val="false"/>
          <w:i w:val="false"/>
          <w:caps w:val="false"/>
          <w:smallCaps w:val="false"/>
          <w:sz w:val="20"/>
        </w:rPr>
        <w:t xml:space="preserve"> and presented as deferred income from government grants, which is recognized in profit or loss on a systematic basis over the respective borrowing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consists primarily of foreign exchange gains on trade receivables and trade and other payables and other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Purchases of Material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material consist of the purchases of components, raw materials, and consumables to be used in the development of specialized quantum computing hardware that supports Pasqal’s quantum computing products and service offerings.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Inventory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inventories reflect the period-over-period movements in raw materials, supplies, and other inputs used in the development of Pasqal’s quantum computing systems. Changes in inventories also include the movements in inventory impairment charges and costs associated with the contractual guarantee provided under Pasqal’s agreement with DistriQ.</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Salaries and Benefit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salaries and benefit expenses consist of compensation-related expenses including employee salaries and wages, social security and other employee benefit contributions, and share-based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and Other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Professional services and other services consist of expenses for outsourced activities, primarily related to fees incurred for third-party professional services such as legal, intellectual property advisors, consultants, and technical and scientific subcontractors. Professional services and other services also include costs for short-term and low-value leases that qualify for the recognition exemption under IFRS 16,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advertising costs, travel and entertainment costs, repairs and maintenance costs, costs incurred for other outsourced services, and other miscellaneous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results from depreciation of property, plant and equipment that are recognized over their estimated useful lives, amortization of intangible assets that are recognized over their estimated useful lives, and amortization of right-of-use assets over the lease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primarily of costs related to the derecognition of certain fixed assets upon disposal and other miscellaneous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Liabilities at FVTPL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financial liabilities at FVTPL primarily consists of changes in the fair values of convertible bonds and redeemable bonds. The bonds are recognized at their fair value and subsequently remeasured to fair value at each reporting period, with resulting gains and losses recognized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consists primarily of interest income earned from cash and cash equivalents and foreign currency gains on 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primarily consists of the accretion of the financing component associated with contracts and interest incurred on borrowings, which mainly include Bpifrance S.A. (“</w:t>
      </w:r>
      <w:r>
        <w:rPr>
          <w:rFonts w:ascii="Times New Roman;Times;Serif" w:hAnsi="Times New Roman;Times;Serif"/>
          <w:b/>
          <w:i w:val="false"/>
          <w:caps w:val="false"/>
          <w:smallCaps w:val="false"/>
          <w:sz w:val="20"/>
        </w:rPr>
        <w:t>BPI</w:t>
      </w:r>
      <w:r>
        <w:rPr>
          <w:rFonts w:ascii="Times New Roman;Times;Serif" w:hAnsi="Times New Roman;Times;Serif"/>
          <w:b w:val="false"/>
          <w:i w:val="false"/>
          <w:caps w:val="false"/>
          <w:smallCaps w:val="false"/>
          <w:sz w:val="20"/>
        </w:rPr>
        <w:t>”) loans, a promissory note with BDC Capital Inc., and various other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expense consists of interest expense on lease liabilities, amortization of issuance costs related to redeemable bonds, and foreign currency losses on 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(Expense) Tax Benefit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(expense) tax benefit consists of income taxes related to the jurisdictions in which Pasqal conducts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Pasqal’s results of operations for the six months ended June 30, 2026 and 2025:</w:t>
      </w:r>
    </w:p>
    <w:p>
      <w:pPr>
        <w:pStyle w:val="TextBody"/>
        <w:bidi w:val="0"/>
        <w:spacing w:before="0" w:after="0"/>
        <w:ind w:left="1066" w:right="1066"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9"/>
        <w:gridCol w:w="60"/>
        <w:gridCol w:w="184"/>
        <w:gridCol w:w="997"/>
        <w:gridCol w:w="125"/>
        <w:gridCol w:w="78"/>
        <w:gridCol w:w="184"/>
        <w:gridCol w:w="997"/>
        <w:gridCol w:w="95"/>
        <w:gridCol w:w="60"/>
        <w:gridCol w:w="154"/>
        <w:gridCol w:w="837"/>
        <w:gridCol w:w="95"/>
        <w:gridCol w:w="60"/>
        <w:gridCol w:w="129"/>
        <w:gridCol w:w="986"/>
        <w:gridCol w:w="235"/>
      </w:tblGrid>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r>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5" w:type="dxa"/>
            <w:tcBorders/>
            <w:vAlign w:val="center"/>
          </w:tcPr>
          <w:p>
            <w:pPr>
              <w:pStyle w:val="TableContents"/>
              <w:bidi w:val="0"/>
              <w:spacing w:before="0" w:after="283"/>
              <w:jc w:val="left"/>
              <w:rPr/>
            </w:pPr>
            <w:r>
              <w:rPr/>
              <w:t> </w:t>
            </w:r>
          </w:p>
        </w:tc>
      </w:tr>
      <w:tr>
        <w:trPr/>
        <w:tc>
          <w:tcPr>
            <w:tcW w:w="49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81" w:type="dxa"/>
            <w:gridSpan w:val="14"/>
            <w:tcBorders/>
            <w:vAlign w:val="center"/>
          </w:tcPr>
          <w:p>
            <w:pPr>
              <w:pStyle w:val="TableContents"/>
              <w:bidi w:val="0"/>
              <w:spacing w:before="0" w:after="283"/>
              <w:jc w:val="center"/>
              <w:rPr>
                <w:b/>
              </w:rPr>
            </w:pPr>
            <w:r>
              <w:rPr>
                <w:b/>
              </w:rPr>
              <w:t>(in thousands, except percentages)</w:t>
            </w:r>
          </w:p>
        </w:tc>
        <w:tc>
          <w:tcPr>
            <w:tcW w:w="235" w:type="dxa"/>
            <w:tcBorders/>
            <w:vAlign w:val="center"/>
          </w:tcPr>
          <w:p>
            <w:pPr>
              <w:pStyle w:val="TableContents"/>
              <w:bidi w:val="0"/>
              <w:spacing w:before="0" w:after="283"/>
              <w:jc w:val="left"/>
              <w:rPr/>
            </w:pPr>
            <w:r>
              <w:rPr/>
              <w:t> </w:t>
            </w:r>
          </w:p>
        </w:tc>
      </w:tr>
      <w:tr>
        <w:trPr/>
        <w:tc>
          <w:tcPr>
            <w:tcW w:w="492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4,872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7" w:type="dxa"/>
            <w:tcBorders/>
            <w:shd w:fill="CCEEFF" w:val="clear"/>
            <w:vAlign w:val="center"/>
          </w:tcPr>
          <w:p>
            <w:pPr>
              <w:pStyle w:val="TableContents"/>
              <w:bidi w:val="0"/>
              <w:spacing w:before="0" w:after="283"/>
              <w:jc w:val="right"/>
              <w:rPr/>
            </w:pPr>
            <w:r>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14</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2,950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3,544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-17</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182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-86</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(2,569</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-5</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1,372</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-25</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(41,594</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(15,353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(26,241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171</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(19,553</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(8,261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(11,292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137</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(4,302</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(4,396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-2</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(59,161</w:t>
            </w:r>
          </w:p>
        </w:tc>
        <w:tc>
          <w:tcPr>
            <w:tcW w:w="12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(19,773</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(39,388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199</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49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4929" w:type="dxa"/>
            <w:tcBorders/>
            <w:shd w:fill="FFFFFF" w:val="clear"/>
            <w:vAlign w:val="center"/>
          </w:tcPr>
          <w:p>
            <w:pPr>
              <w:pStyle w:val="TableContents"/>
              <w:bidi w:val="0"/>
              <w:spacing w:before="0" w:after="283"/>
              <w:jc w:val="left"/>
              <w:rPr/>
            </w:pPr>
            <w:r>
              <w:rPr/>
              <w:t>Change in fair value of financial liabilities at FVTPL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7,048</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(3,033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10,081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-332</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1,414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28</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(1,996</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(1,838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9</w:t>
            </w:r>
          </w:p>
        </w:tc>
        <w:tc>
          <w:tcPr>
            <w:tcW w:w="235" w:type="dxa"/>
            <w:tcBorders/>
            <w:shd w:fill="FFFFFF" w:val="clear"/>
            <w:vAlign w:val="center"/>
          </w:tcPr>
          <w:p>
            <w:pPr>
              <w:pStyle w:val="TableContents"/>
              <w:bidi w:val="0"/>
              <w:spacing w:before="0" w:after="283"/>
              <w:jc w:val="left"/>
              <w:rPr/>
            </w:pPr>
            <w:r>
              <w:rPr/>
              <w:t>%</w:t>
            </w:r>
          </w:p>
        </w:tc>
      </w:tr>
      <w:tr>
        <w:trPr/>
        <w:tc>
          <w:tcPr>
            <w:tcW w:w="4929" w:type="dxa"/>
            <w:tcBorders/>
            <w:shd w:fill="CCEEFF" w:val="clear"/>
            <w:vAlign w:val="center"/>
          </w:tcPr>
          <w:p>
            <w:pPr>
              <w:pStyle w:val="TableContents"/>
              <w:bidi w:val="0"/>
              <w:spacing w:before="0" w:after="283"/>
              <w:jc w:val="left"/>
              <w:rPr/>
            </w:pPr>
            <w:r>
              <w:rPr/>
              <w:t>Other financial expense</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(521</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2,087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(53,216</w:t>
            </w:r>
          </w:p>
        </w:tc>
        <w:tc>
          <w:tcPr>
            <w:tcW w:w="125"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(26,150</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(27,066</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104</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4929" w:type="dxa"/>
            <w:tcBorders/>
            <w:shd w:fill="CCEEFF" w:val="clear"/>
            <w:vAlign w:val="center"/>
          </w:tcPr>
          <w:p>
            <w:pPr>
              <w:pStyle w:val="TableContents"/>
              <w:bidi w:val="0"/>
              <w:spacing w:before="0" w:after="283"/>
              <w:jc w:val="left"/>
              <w:rPr/>
            </w:pPr>
            <w:r>
              <w:rPr/>
              <w:t>Income (expense) tax benefit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235" w:type="dxa"/>
            <w:tcBorders/>
            <w:shd w:fill="CCEEFF" w:val="clear"/>
            <w:vAlign w:val="center"/>
          </w:tcPr>
          <w:p>
            <w:pPr>
              <w:pStyle w:val="TableContents"/>
              <w:bidi w:val="0"/>
              <w:spacing w:before="0" w:after="283"/>
              <w:jc w:val="left"/>
              <w:rPr/>
            </w:pPr>
            <w:r>
              <w:rPr/>
              <w:t>%</w:t>
            </w:r>
          </w:p>
        </w:tc>
      </w:tr>
      <w:tr>
        <w:trPr/>
        <w:tc>
          <w:tcPr>
            <w:tcW w:w="4929" w:type="dxa"/>
            <w:tcBorders/>
            <w:shd w:fill="FFFFFF" w:val="clear"/>
            <w:vAlign w:val="center"/>
          </w:tcPr>
          <w:p>
            <w:pPr>
              <w:pStyle w:val="TableContents"/>
              <w:bidi w:val="0"/>
              <w:spacing w:before="0" w:after="283"/>
              <w:jc w:val="left"/>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9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(53,236</w:t>
            </w:r>
          </w:p>
        </w:tc>
        <w:tc>
          <w:tcPr>
            <w:tcW w:w="125" w:type="dxa"/>
            <w:tcBorders/>
            <w:shd w:fill="FFFFFF" w:val="clear"/>
            <w:vAlign w:val="center"/>
          </w:tcPr>
          <w:p>
            <w:pPr>
              <w:pStyle w:val="TableContents"/>
              <w:bidi w:val="0"/>
              <w:spacing w:before="0" w:after="283"/>
              <w:jc w:val="left"/>
              <w:rPr>
                <w:b/>
              </w:rPr>
            </w:pPr>
            <w:r>
              <w:rPr>
                <w:b/>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9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(26,118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37"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(27,118</w:t>
            </w:r>
          </w:p>
        </w:tc>
        <w:tc>
          <w:tcPr>
            <w:tcW w:w="9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104</w:t>
            </w:r>
          </w:p>
        </w:tc>
        <w:tc>
          <w:tcPr>
            <w:tcW w:w="235"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bl>
    <w:p>
      <w:pPr>
        <w:pStyle w:val="TextBody"/>
        <w:bidi w:val="0"/>
        <w:spacing w:before="0" w:after="0"/>
        <w:ind w:left="1066" w:right="1066" w:hanging="0"/>
        <w:jc w:val="left"/>
        <w:rPr>
          <w:caps w:val="false"/>
          <w:smallCaps w:val="false"/>
        </w:rPr>
      </w:pPr>
      <w:r>
        <w:rPr>
          <w:caps w:val="false"/>
          <w:smallCaps w:val="false"/>
        </w:rPr>
        <w:t> </w:t>
      </w:r>
    </w:p>
    <w:p>
      <w:pPr>
        <w:pStyle w:val="TextBody"/>
        <w:bidi w:val="0"/>
        <w:spacing w:before="0" w:after="0"/>
        <w:ind w:left="1066" w:right="1066"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2045"/>
        <w:gridCol w:w="60"/>
        <w:gridCol w:w="238"/>
        <w:gridCol w:w="952"/>
        <w:gridCol w:w="102"/>
        <w:gridCol w:w="102"/>
        <w:gridCol w:w="238"/>
        <w:gridCol w:w="952"/>
        <w:gridCol w:w="60"/>
        <w:gridCol w:w="60"/>
        <w:gridCol w:w="199"/>
        <w:gridCol w:w="796"/>
        <w:gridCol w:w="95"/>
        <w:gridCol w:w="60"/>
        <w:gridCol w:w="169"/>
        <w:gridCol w:w="946"/>
        <w:gridCol w:w="275"/>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69"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QPU sales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pPr>
            <w:r>
              <w:rPr/>
              <w:t>QPU-related services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3,944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2,943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34</w:t>
            </w:r>
          </w:p>
        </w:tc>
        <w:tc>
          <w:tcPr>
            <w:tcW w:w="275" w:type="dxa"/>
            <w:tcBorders/>
            <w:shd w:fill="FFFFFF" w:val="clear"/>
            <w:vAlign w:val="center"/>
          </w:tcPr>
          <w:p>
            <w:pPr>
              <w:pStyle w:val="TableContents"/>
              <w:bidi w:val="0"/>
              <w:spacing w:before="0" w:after="283"/>
              <w:jc w:val="left"/>
              <w:rPr/>
            </w:pPr>
            <w:r>
              <w:rPr/>
              <w:t>%</w:t>
            </w:r>
          </w:p>
        </w:tc>
      </w:tr>
      <w:tr>
        <w:trPr/>
        <w:tc>
          <w:tcPr>
            <w:tcW w:w="2045" w:type="dxa"/>
            <w:tcBorders/>
            <w:shd w:fill="CCEEFF" w:val="clear"/>
            <w:vAlign w:val="center"/>
          </w:tcPr>
          <w:p>
            <w:pPr>
              <w:pStyle w:val="TableContents"/>
              <w:bidi w:val="0"/>
              <w:spacing w:before="0" w:after="283"/>
              <w:jc w:val="left"/>
              <w:rPr/>
            </w:pPr>
            <w:r>
              <w:rPr/>
              <w:t>Cryostat sales</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927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1,342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w:t>
            </w:r>
          </w:p>
        </w:tc>
      </w:tr>
      <w:tr>
        <w:trPr/>
        <w:tc>
          <w:tcPr>
            <w:tcW w:w="2045" w:type="dxa"/>
            <w:tcBorders/>
            <w:shd w:fill="FFFFFF" w:val="clear"/>
            <w:vAlign w:val="center"/>
          </w:tcPr>
          <w:p>
            <w:pPr>
              <w:pStyle w:val="TableContents"/>
              <w:bidi w:val="0"/>
              <w:spacing w:before="0" w:after="283"/>
              <w:jc w:val="left"/>
              <w:rPr>
                <w:b/>
              </w:rPr>
            </w:pPr>
            <w:r>
              <w:rPr>
                <w:b/>
              </w:rPr>
              <w:t xml:space="preserve">Total revenue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4,872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4,286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FFFFFF" w:val="clear"/>
            <w:tcMar>
              <w:bottom w:w="28" w:type="dxa"/>
            </w:tcMar>
            <w:vAlign w:val="center"/>
          </w:tcPr>
          <w:p>
            <w:pPr>
              <w:pStyle w:val="TableContents"/>
              <w:bidi w:val="0"/>
              <w:spacing w:before="0" w:after="283"/>
              <w:jc w:val="right"/>
              <w:rPr/>
            </w:pPr>
            <w:r>
              <w:rPr/>
              <w:t>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is comprised of sales of QPU-related services and Cryostat sales for the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QPU-related services increased by €1.0 million, or 34% from €2.9 million for the six months ended June 30, 2025 to €3.9 million for the six months ended June 30, 2026. This increase was primarily driven by the timing of revenue recognition associated with the QPU upgrade under the Forschungszentrum Jülich contract, amounting to €0.8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Cryostat sales decreased by €0.4 million, or 31% from €1.3 million for the six months ended June 30, 2025 to €0.9 million for the six months ended June 30, 2026. This decrease was primarily driven by fewer Cryostat deliveries during the six months ended June 30, 2026 as compared to the six months ended June 30, 2025, as revenue is recognized upon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 Income</w:t>
      </w:r>
    </w:p>
    <w:p>
      <w:pPr>
        <w:pStyle w:val="TextBody"/>
        <w:bidi w:val="0"/>
        <w:spacing w:before="0" w:after="0"/>
        <w:ind w:left="0" w:right="0" w:hanging="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2510"/>
        <w:gridCol w:w="60"/>
        <w:gridCol w:w="238"/>
        <w:gridCol w:w="952"/>
        <w:gridCol w:w="102"/>
        <w:gridCol w:w="102"/>
        <w:gridCol w:w="238"/>
        <w:gridCol w:w="952"/>
        <w:gridCol w:w="60"/>
        <w:gridCol w:w="60"/>
        <w:gridCol w:w="233"/>
        <w:gridCol w:w="761"/>
        <w:gridCol w:w="95"/>
        <w:gridCol w:w="60"/>
        <w:gridCol w:w="169"/>
        <w:gridCol w:w="946"/>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center"/>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center"/>
              <w:rPr/>
            </w:pPr>
            <w:r>
              <w:rPr/>
              <w:t> </w:t>
            </w:r>
          </w:p>
        </w:tc>
      </w:tr>
      <w:tr>
        <w:trPr/>
        <w:tc>
          <w:tcPr>
            <w:tcW w:w="2510" w:type="dxa"/>
            <w:tcBorders/>
            <w:shd w:fill="CCEEFF" w:val="clear"/>
            <w:vAlign w:val="center"/>
          </w:tcPr>
          <w:p>
            <w:pPr>
              <w:pStyle w:val="TableContents"/>
              <w:bidi w:val="0"/>
              <w:spacing w:before="0" w:after="283"/>
              <w:jc w:val="left"/>
              <w:rPr/>
            </w:pPr>
            <w:r>
              <w:rPr/>
              <w:t>Government grant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2,950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3,544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income decreased by €0.6 million, or 17% from €3.5 million for the six months ended June 30, 2025 to €3.0 million for the six months ended June 30, 2026. The decrease was primarily driven by the timing of grant income recognition, which is based on the achievement of project milestones and the occurrence of eligible costs associated with primarily programs funded by BPI, the EIC Accelerator, and South Korean government initiatives. The decrease was not a result of a reduction in grants awarded.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Income</w:t>
      </w:r>
    </w:p>
    <w:p>
      <w:pPr>
        <w:pStyle w:val="TextBody"/>
        <w:bidi w:val="0"/>
        <w:spacing w:before="0" w:after="0"/>
        <w:ind w:left="0" w:right="0" w:hanging="0"/>
        <w:jc w:val="left"/>
        <w:rPr>
          <w:caps w:val="false"/>
          <w:smallCaps w:val="false"/>
        </w:rPr>
      </w:pPr>
      <w:r>
        <w:rPr>
          <w:caps w:val="false"/>
          <w:smallCaps w:val="false"/>
        </w:rPr>
        <w:t> </w:t>
      </w:r>
    </w:p>
    <w:tbl>
      <w:tblPr>
        <w:tblW w:w="7527" w:type="dxa"/>
        <w:jc w:val="left"/>
        <w:tblInd w:w="0" w:type="dxa"/>
        <w:tblLayout w:type="fixed"/>
        <w:tblCellMar>
          <w:top w:w="0" w:type="dxa"/>
          <w:left w:w="0" w:type="dxa"/>
          <w:bottom w:w="0" w:type="dxa"/>
          <w:right w:w="0" w:type="dxa"/>
        </w:tblCellMar>
      </w:tblPr>
      <w:tblGrid>
        <w:gridCol w:w="2270"/>
        <w:gridCol w:w="60"/>
        <w:gridCol w:w="270"/>
        <w:gridCol w:w="733"/>
        <w:gridCol w:w="115"/>
        <w:gridCol w:w="115"/>
        <w:gridCol w:w="270"/>
        <w:gridCol w:w="1080"/>
        <w:gridCol w:w="60"/>
        <w:gridCol w:w="60"/>
        <w:gridCol w:w="179"/>
        <w:gridCol w:w="815"/>
        <w:gridCol w:w="95"/>
        <w:gridCol w:w="60"/>
        <w:gridCol w:w="169"/>
        <w:gridCol w:w="946"/>
        <w:gridCol w:w="230"/>
      </w:tblGrid>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967"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center"/>
              <w:rPr/>
            </w:pPr>
            <w:r>
              <w:rPr/>
              <w:t> </w:t>
            </w:r>
          </w:p>
        </w:tc>
      </w:tr>
      <w:tr>
        <w:trPr/>
        <w:tc>
          <w:tcPr>
            <w:tcW w:w="227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182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080" w:type="dxa"/>
            <w:tcBorders/>
            <w:shd w:fill="CCEEFF" w:val="clear"/>
            <w:vAlign w:val="center"/>
          </w:tcPr>
          <w:p>
            <w:pPr>
              <w:pStyle w:val="TableContents"/>
              <w:bidi w:val="0"/>
              <w:spacing w:before="0" w:after="283"/>
              <w:jc w:val="right"/>
              <w:rPr/>
            </w:pPr>
            <w:r>
              <w:rPr/>
              <w:t>1,275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decreased by €1.1 million, or 86% from €1.3 million for the six months ended June 30, 2025 to €0.2 million for the six months ended June 30, 2026. The decrease was primarily because there were non-recurring items included in the six months ended June 30, 2025 that did not recur during the six months ended June 30, 2026. These non-recurring items primarily consist of a €0.6 million reversal of a VAT-related tax risk provision, and €0.1 million reclassification of a credit balance previously recognized in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Purchases of Material</w:t>
      </w:r>
    </w:p>
    <w:p>
      <w:pPr>
        <w:pStyle w:val="TextBody"/>
        <w:bidi w:val="0"/>
        <w:spacing w:before="0" w:after="0"/>
        <w:ind w:left="0" w:right="0" w:hanging="0"/>
        <w:jc w:val="left"/>
        <w:rPr>
          <w:caps w:val="false"/>
          <w:smallCaps w:val="false"/>
        </w:rPr>
      </w:pPr>
      <w:r>
        <w:rPr>
          <w:caps w:val="false"/>
          <w:smallCaps w:val="false"/>
        </w:rPr>
        <w:t> </w:t>
      </w:r>
    </w:p>
    <w:tbl>
      <w:tblPr>
        <w:tblW w:w="7301" w:type="dxa"/>
        <w:jc w:val="left"/>
        <w:tblInd w:w="0" w:type="dxa"/>
        <w:tblLayout w:type="fixed"/>
        <w:tblCellMar>
          <w:top w:w="0" w:type="dxa"/>
          <w:left w:w="0" w:type="dxa"/>
          <w:bottom w:w="0" w:type="dxa"/>
          <w:right w:w="0" w:type="dxa"/>
        </w:tblCellMar>
      </w:tblPr>
      <w:tblGrid>
        <w:gridCol w:w="2045"/>
        <w:gridCol w:w="60"/>
        <w:gridCol w:w="212"/>
        <w:gridCol w:w="962"/>
        <w:gridCol w:w="144"/>
        <w:gridCol w:w="90"/>
        <w:gridCol w:w="212"/>
        <w:gridCol w:w="962"/>
        <w:gridCol w:w="95"/>
        <w:gridCol w:w="60"/>
        <w:gridCol w:w="267"/>
        <w:gridCol w:w="727"/>
        <w:gridCol w:w="60"/>
        <w:gridCol w:w="60"/>
        <w:gridCol w:w="243"/>
        <w:gridCol w:w="872"/>
        <w:gridCol w:w="230"/>
      </w:tblGrid>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Purchases of material</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(2,569</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(2,692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material decreased by €0.1 million, or 5% from €2.7 million for the six months ended June 30, 2025 to €2.6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Inventory</w:t>
      </w:r>
    </w:p>
    <w:p>
      <w:pPr>
        <w:pStyle w:val="TextBody"/>
        <w:bidi w:val="0"/>
        <w:spacing w:before="0" w:after="0"/>
        <w:ind w:left="0" w:right="0" w:firstLine="720"/>
        <w:jc w:val="left"/>
        <w:rPr>
          <w:caps w:val="false"/>
          <w:smallCaps w:val="false"/>
        </w:rPr>
      </w:pPr>
      <w:r>
        <w:rPr>
          <w:caps w:val="false"/>
          <w:smallCaps w:val="false"/>
        </w:rPr>
        <w:t> </w:t>
      </w:r>
    </w:p>
    <w:tbl>
      <w:tblPr>
        <w:tblW w:w="7318" w:type="dxa"/>
        <w:jc w:val="left"/>
        <w:tblInd w:w="0" w:type="dxa"/>
        <w:tblLayout w:type="fixed"/>
        <w:tblCellMar>
          <w:top w:w="0" w:type="dxa"/>
          <w:left w:w="0" w:type="dxa"/>
          <w:bottom w:w="0" w:type="dxa"/>
          <w:right w:w="0" w:type="dxa"/>
        </w:tblCellMar>
      </w:tblPr>
      <w:tblGrid>
        <w:gridCol w:w="2060"/>
        <w:gridCol w:w="60"/>
        <w:gridCol w:w="238"/>
        <w:gridCol w:w="952"/>
        <w:gridCol w:w="102"/>
        <w:gridCol w:w="102"/>
        <w:gridCol w:w="238"/>
        <w:gridCol w:w="952"/>
        <w:gridCol w:w="60"/>
        <w:gridCol w:w="60"/>
        <w:gridCol w:w="233"/>
        <w:gridCol w:w="761"/>
        <w:gridCol w:w="95"/>
        <w:gridCol w:w="60"/>
        <w:gridCol w:w="169"/>
        <w:gridCol w:w="946"/>
        <w:gridCol w:w="230"/>
      </w:tblGrid>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1,372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inventory decreased by €0.5 million, or 25% from €1.8 million for the six months ended June 30, 2025 to €1.4 million for the six months ended June 30, 2026. The decrease was primarily due to higher work-in-progress inventory levels associated with the ramp-up of the GENCI and Forschungszentrum Jülich QPUs during the six months ended June 30,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Salaries and Benefit Expenses</w:t>
      </w:r>
    </w:p>
    <w:p>
      <w:pPr>
        <w:pStyle w:val="TextBody"/>
        <w:bidi w:val="0"/>
        <w:spacing w:before="0" w:after="0"/>
        <w:ind w:left="0" w:right="0" w:hanging="0"/>
        <w:jc w:val="left"/>
        <w:rPr>
          <w:caps w:val="false"/>
          <w:smallCaps w:val="false"/>
        </w:rPr>
      </w:pPr>
      <w:r>
        <w:rPr>
          <w:caps w:val="false"/>
          <w:smallCaps w:val="false"/>
        </w:rPr>
        <w:t> </w:t>
      </w:r>
    </w:p>
    <w:tbl>
      <w:tblPr>
        <w:tblW w:w="9392" w:type="dxa"/>
        <w:jc w:val="left"/>
        <w:tblInd w:w="0" w:type="dxa"/>
        <w:tblLayout w:type="fixed"/>
        <w:tblCellMar>
          <w:top w:w="0" w:type="dxa"/>
          <w:left w:w="0" w:type="dxa"/>
          <w:bottom w:w="0" w:type="dxa"/>
          <w:right w:w="0" w:type="dxa"/>
        </w:tblCellMar>
      </w:tblPr>
      <w:tblGrid>
        <w:gridCol w:w="4055"/>
        <w:gridCol w:w="60"/>
        <w:gridCol w:w="186"/>
        <w:gridCol w:w="1003"/>
        <w:gridCol w:w="126"/>
        <w:gridCol w:w="79"/>
        <w:gridCol w:w="186"/>
        <w:gridCol w:w="1003"/>
        <w:gridCol w:w="95"/>
        <w:gridCol w:w="60"/>
        <w:gridCol w:w="155"/>
        <w:gridCol w:w="839"/>
        <w:gridCol w:w="95"/>
        <w:gridCol w:w="60"/>
        <w:gridCol w:w="119"/>
        <w:gridCol w:w="996"/>
        <w:gridCol w:w="275"/>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2"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pPr>
            <w:r>
              <w:rPr/>
              <w:t>Salaries, wages and benefits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(9,386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(10,742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Social security contributions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(4,225</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(3,244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30</w:t>
            </w:r>
          </w:p>
        </w:tc>
        <w:tc>
          <w:tcPr>
            <w:tcW w:w="275"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pPr>
            <w:r>
              <w:rPr/>
              <w:t>Other salaries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(27,902</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(26,616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2070</w:t>
            </w:r>
          </w:p>
        </w:tc>
        <w:tc>
          <w:tcPr>
            <w:tcW w:w="275" w:type="dxa"/>
            <w:tcBorders/>
            <w:shd w:fill="CCEEFF" w:val="clear"/>
            <w:vAlign w:val="center"/>
          </w:tcPr>
          <w:p>
            <w:pPr>
              <w:pStyle w:val="TableContents"/>
              <w:bidi w:val="0"/>
              <w:spacing w:before="0" w:after="283"/>
              <w:jc w:val="left"/>
              <w:rPr/>
            </w:pPr>
            <w:r>
              <w:rPr/>
              <w:t>%</w:t>
            </w:r>
          </w:p>
        </w:tc>
      </w:tr>
      <w:tr>
        <w:trPr/>
        <w:tc>
          <w:tcPr>
            <w:tcW w:w="4055" w:type="dxa"/>
            <w:tcBorders/>
            <w:shd w:fill="FFFFFF" w:val="clear"/>
            <w:vAlign w:val="center"/>
          </w:tcPr>
          <w:p>
            <w:pPr>
              <w:pStyle w:val="TableContents"/>
              <w:bidi w:val="0"/>
              <w:spacing w:before="0" w:after="283"/>
              <w:jc w:val="left"/>
              <w:rPr/>
            </w:pPr>
            <w:r>
              <w:rPr/>
              <w:t>Allowance for retirement plan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FFFFFF" w:val="clear"/>
            <w:tcMar>
              <w:bottom w:w="28" w:type="dxa"/>
            </w:tcMar>
            <w:vAlign w:val="center"/>
          </w:tcPr>
          <w:p>
            <w:pPr>
              <w:pStyle w:val="TableContents"/>
              <w:bidi w:val="0"/>
              <w:spacing w:before="0" w:after="283"/>
              <w:jc w:val="right"/>
              <w:rPr/>
            </w:pPr>
            <w:r>
              <w:rPr/>
              <w:t>(81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FFFFFF" w:val="clear"/>
            <w:tcMar>
              <w:bottom w:w="28" w:type="dxa"/>
            </w:tcM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75" w:type="dxa"/>
            <w:tcBorders/>
            <w:shd w:fill="FFFFFF" w:val="clear"/>
            <w:vAlign w:val="center"/>
          </w:tcPr>
          <w:p>
            <w:pPr>
              <w:pStyle w:val="TableContents"/>
              <w:bidi w:val="0"/>
              <w:spacing w:before="0" w:after="283"/>
              <w:jc w:val="left"/>
              <w:rPr/>
            </w:pPr>
            <w:r>
              <w:rPr/>
              <w:t>%</w:t>
            </w:r>
          </w:p>
        </w:tc>
      </w:tr>
      <w:tr>
        <w:trPr/>
        <w:tc>
          <w:tcPr>
            <w:tcW w:w="4055" w:type="dxa"/>
            <w:tcBorders/>
            <w:shd w:fill="CCEEFF" w:val="clear"/>
            <w:vAlign w:val="center"/>
          </w:tcPr>
          <w:p>
            <w:pPr>
              <w:pStyle w:val="TableContents"/>
              <w:bidi w:val="0"/>
              <w:spacing w:before="0" w:after="283"/>
              <w:jc w:val="left"/>
              <w:rPr>
                <w:b/>
              </w:rPr>
            </w:pPr>
            <w:r>
              <w:rPr>
                <w:b/>
              </w:rPr>
              <w:t xml:space="preserve">Employee salaries and benefit expenses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pPr>
            <w:r>
              <w:rPr/>
              <w:t>(41,594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CCEEFF" w:val="clear"/>
            <w:tcMar>
              <w:bottom w:w="28" w:type="dxa"/>
            </w:tcMar>
            <w:vAlign w:val="center"/>
          </w:tcPr>
          <w:p>
            <w:pPr>
              <w:pStyle w:val="TableContents"/>
              <w:bidi w:val="0"/>
              <w:spacing w:before="0" w:after="283"/>
              <w:jc w:val="right"/>
              <w:rPr/>
            </w:pPr>
            <w:r>
              <w:rPr/>
              <w:t>(15,353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pPr>
            <w:r>
              <w:rPr/>
              <w:t>(26,241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171</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salaries, wages and benefits were €9.4 million, a decrease of €1.4 million or 13% compared to the six months ended June 30, 2025. The decrease was primarily driven by the inclusion of employee compensation costs associated with Pasqal Netherlands B.V. prior to its closure on June 24, 2025, partially offset by higher employee compensation costs across the rest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contributions increased by €1.0 million, or 30% from €3.2 million for the six months ended June 30, 2025 to €4.2 million for the six months ended June 30, 2026. The increase was primarily due to the loss of Jeune Entreprise Innovante status, which resulted in the cessation of certain employer social security contribution exemptions.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salaries expenses increased by €26.6 million, or 2070% from €1.3 million for the six months ended June 30, 2025 to €27.9 million for the six months ended June 30, 2026. This increase was primarily driven by higher expenses recognized related to BSPCEs, SARs, and stock options as a result of new BSPCEs granted and changes in the fair value of the instruments associated with the Business Combination. These expenses totaled €27.3 million for the six months ended June 30, 2026 compared to €1.0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Professional Services and Other Services</w:t>
      </w:r>
    </w:p>
    <w:p>
      <w:pPr>
        <w:pStyle w:val="TextBody"/>
        <w:bidi w:val="0"/>
        <w:spacing w:before="0" w:after="0"/>
        <w:ind w:left="0" w:right="0" w:firstLine="720"/>
        <w:jc w:val="left"/>
        <w:rPr>
          <w:caps w:val="false"/>
          <w:smallCaps w:val="false"/>
        </w:rPr>
      </w:pPr>
      <w:r>
        <w:rPr>
          <w:caps w:val="false"/>
          <w:smallCaps w:val="false"/>
        </w:rPr>
        <w:t> </w:t>
      </w:r>
    </w:p>
    <w:tbl>
      <w:tblPr>
        <w:tblW w:w="9916" w:type="dxa"/>
        <w:jc w:val="left"/>
        <w:tblInd w:w="0" w:type="dxa"/>
        <w:tblLayout w:type="fixed"/>
        <w:tblCellMar>
          <w:top w:w="0" w:type="dxa"/>
          <w:left w:w="0" w:type="dxa"/>
          <w:bottom w:w="0" w:type="dxa"/>
          <w:right w:w="0" w:type="dxa"/>
        </w:tblCellMar>
      </w:tblPr>
      <w:tblGrid>
        <w:gridCol w:w="4580"/>
        <w:gridCol w:w="60"/>
        <w:gridCol w:w="198"/>
        <w:gridCol w:w="1069"/>
        <w:gridCol w:w="134"/>
        <w:gridCol w:w="84"/>
        <w:gridCol w:w="198"/>
        <w:gridCol w:w="899"/>
        <w:gridCol w:w="95"/>
        <w:gridCol w:w="60"/>
        <w:gridCol w:w="155"/>
        <w:gridCol w:w="839"/>
        <w:gridCol w:w="95"/>
        <w:gridCol w:w="60"/>
        <w:gridCol w:w="152"/>
        <w:gridCol w:w="963"/>
        <w:gridCol w:w="275"/>
      </w:tblGrid>
      <w:tr>
        <w:trPr/>
        <w:tc>
          <w:tcPr>
            <w:tcW w:w="458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1" w:type="dxa"/>
            <w:gridSpan w:val="14"/>
            <w:tcBorders/>
            <w:vAlign w:val="center"/>
          </w:tcPr>
          <w:p>
            <w:pPr>
              <w:pStyle w:val="TableContents"/>
              <w:bidi w:val="0"/>
              <w:spacing w:before="0" w:after="283"/>
              <w:jc w:val="center"/>
              <w:rPr>
                <w:b/>
              </w:rPr>
            </w:pPr>
            <w:r>
              <w:rPr>
                <w:b/>
              </w:rPr>
              <w:t>(in thousands, except percentages)</w:t>
            </w:r>
          </w:p>
        </w:tc>
        <w:tc>
          <w:tcPr>
            <w:tcW w:w="275" w:type="dxa"/>
            <w:tcBorders/>
            <w:vAlign w:val="center"/>
          </w:tcPr>
          <w:p>
            <w:pPr>
              <w:pStyle w:val="TableContents"/>
              <w:bidi w:val="0"/>
              <w:spacing w:before="0" w:after="283"/>
              <w:ind w:left="0" w:right="0" w:hanging="180"/>
              <w:jc w:val="left"/>
              <w:rPr/>
            </w:pPr>
            <w:r>
              <w:rPr/>
              <w:t> </w:t>
            </w:r>
          </w:p>
        </w:tc>
      </w:tr>
      <w:tr>
        <w:trPr/>
        <w:tc>
          <w:tcPr>
            <w:tcW w:w="4580" w:type="dxa"/>
            <w:tcBorders/>
            <w:shd w:fill="CCEEFF" w:val="clear"/>
            <w:vAlign w:val="center"/>
          </w:tcPr>
          <w:p>
            <w:pPr>
              <w:pStyle w:val="TableContents"/>
              <w:bidi w:val="0"/>
              <w:spacing w:before="0" w:after="283"/>
              <w:jc w:val="left"/>
              <w:rPr/>
            </w:pPr>
            <w:r>
              <w:rPr/>
              <w:t>Fees for external professional services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(15,501</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(10,949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241</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Property costs (including rentals)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(1,246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(1,476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Advertising and public relation expenses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(393</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Travel and entertainment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(851</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(391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85</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Other outsourced services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(477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Other external charges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(216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-16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Maintenance and repairs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(336</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(153</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72</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Bank fees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(207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pPr>
            <w:r>
              <w:rPr/>
              <w:t>Transport costs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(116</w:t>
            </w:r>
          </w:p>
        </w:tc>
        <w:tc>
          <w:tcPr>
            <w:tcW w:w="134" w:type="dxa"/>
            <w:tcBorders/>
            <w:shd w:fill="FFFFFF" w:val="clear"/>
            <w:vAlign w:val="center"/>
          </w:tcPr>
          <w:p>
            <w:pPr>
              <w:pStyle w:val="TableContents"/>
              <w:bidi w:val="0"/>
              <w:spacing w:before="0" w:after="283"/>
              <w:jc w:val="left"/>
              <w:rPr/>
            </w:pPr>
            <w:r>
              <w:rPr/>
              <w:t>)</w:t>
            </w:r>
          </w:p>
        </w:tc>
        <w:tc>
          <w:tcPr>
            <w:tcW w:w="84"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-6</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4580" w:type="dxa"/>
            <w:tcBorders/>
            <w:shd w:fill="CCEEFF" w:val="clear"/>
            <w:vAlign w:val="center"/>
          </w:tcPr>
          <w:p>
            <w:pPr>
              <w:pStyle w:val="TableContents"/>
              <w:bidi w:val="0"/>
              <w:spacing w:before="0" w:after="283"/>
              <w:jc w:val="left"/>
              <w:rPr/>
            </w:pPr>
            <w:r>
              <w:rPr/>
              <w:t>Telephone and postage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4580" w:type="dxa"/>
            <w:tcBorders/>
            <w:shd w:fill="FFFFFF" w:val="clear"/>
            <w:vAlign w:val="center"/>
          </w:tcPr>
          <w:p>
            <w:pPr>
              <w:pStyle w:val="TableContents"/>
              <w:bidi w:val="0"/>
              <w:spacing w:before="0" w:after="283"/>
              <w:jc w:val="left"/>
              <w:rPr>
                <w:b/>
              </w:rPr>
            </w:pPr>
            <w:r>
              <w:rPr>
                <w:b/>
              </w:rPr>
              <w:t>Total professional services and other services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(19,553</w:t>
            </w:r>
          </w:p>
        </w:tc>
        <w:tc>
          <w:tcPr>
            <w:tcW w:w="134" w:type="dxa"/>
            <w:tcBorders/>
            <w:shd w:fill="FFFFFF" w:val="clear"/>
            <w:vAlign w:val="center"/>
          </w:tcPr>
          <w:p>
            <w:pPr>
              <w:pStyle w:val="TableContents"/>
              <w:bidi w:val="0"/>
              <w:spacing w:before="0" w:after="283"/>
              <w:jc w:val="left"/>
              <w:rPr>
                <w:b/>
              </w:rPr>
            </w:pPr>
            <w:r>
              <w:rPr>
                <w:b/>
              </w:rPr>
              <w:t>)</w:t>
            </w:r>
          </w:p>
        </w:tc>
        <w:tc>
          <w:tcPr>
            <w:tcW w:w="84"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(8,261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137</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and other services increased by €11.3 million, or 137% from €8.3 million for the six months ended June 30, 2025 to €19.6 million for the six months ended June 30, 2026. The increase was primarily driven by higher fees incurred for external professional services in connection with Pasqal’s preparation for becoming a public company; these fees for external professional services consist of advisory, legal, and other professional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Depreciation and Amortization</w:t>
      </w:r>
    </w:p>
    <w:p>
      <w:pPr>
        <w:pStyle w:val="TextBody"/>
        <w:bidi w:val="0"/>
        <w:spacing w:before="0" w:after="0"/>
        <w:ind w:left="0" w:right="0" w:firstLine="720"/>
        <w:jc w:val="left"/>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2885"/>
        <w:gridCol w:w="60"/>
        <w:gridCol w:w="212"/>
        <w:gridCol w:w="962"/>
        <w:gridCol w:w="144"/>
        <w:gridCol w:w="90"/>
        <w:gridCol w:w="212"/>
        <w:gridCol w:w="962"/>
        <w:gridCol w:w="95"/>
        <w:gridCol w:w="60"/>
        <w:gridCol w:w="347"/>
        <w:gridCol w:w="647"/>
        <w:gridCol w:w="60"/>
        <w:gridCol w:w="60"/>
        <w:gridCol w:w="243"/>
        <w:gridCol w:w="872"/>
        <w:gridCol w:w="230"/>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center"/>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(4,302</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647"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decreased by €0.1 million, or 2% from €4.4 million for the six months ended June 30, 2025 to €4.3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Operating Expenses</w:t>
      </w:r>
    </w:p>
    <w:p>
      <w:pPr>
        <w:pStyle w:val="TextBody"/>
        <w:bidi w:val="0"/>
        <w:spacing w:before="0" w:after="0"/>
        <w:ind w:left="0" w:right="0" w:firstLine="720"/>
        <w:jc w:val="left"/>
        <w:rPr>
          <w:caps w:val="false"/>
          <w:smallCaps w:val="false"/>
        </w:rPr>
      </w:pPr>
      <w:r>
        <w:rPr>
          <w:caps w:val="false"/>
          <w:smallCaps w:val="false"/>
        </w:rPr>
        <w:t> </w:t>
      </w:r>
    </w:p>
    <w:tbl>
      <w:tblPr>
        <w:tblW w:w="7692" w:type="dxa"/>
        <w:jc w:val="left"/>
        <w:tblInd w:w="0" w:type="dxa"/>
        <w:tblLayout w:type="fixed"/>
        <w:tblCellMar>
          <w:top w:w="0" w:type="dxa"/>
          <w:left w:w="0" w:type="dxa"/>
          <w:bottom w:w="0" w:type="dxa"/>
          <w:right w:w="0" w:type="dxa"/>
        </w:tblCellMar>
      </w:tblPr>
      <w:tblGrid>
        <w:gridCol w:w="2435"/>
        <w:gridCol w:w="60"/>
        <w:gridCol w:w="367"/>
        <w:gridCol w:w="1194"/>
        <w:gridCol w:w="249"/>
        <w:gridCol w:w="157"/>
        <w:gridCol w:w="367"/>
        <w:gridCol w:w="249"/>
        <w:gridCol w:w="60"/>
        <w:gridCol w:w="60"/>
        <w:gridCol w:w="233"/>
        <w:gridCol w:w="761"/>
        <w:gridCol w:w="95"/>
        <w:gridCol w:w="60"/>
        <w:gridCol w:w="152"/>
        <w:gridCol w:w="963"/>
        <w:gridCol w:w="230"/>
      </w:tblGrid>
      <w:tr>
        <w:trPr/>
        <w:tc>
          <w:tcPr>
            <w:tcW w:w="2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49"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7"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(518</w:t>
            </w:r>
          </w:p>
        </w:tc>
        <w:tc>
          <w:tcPr>
            <w:tcW w:w="24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were €0.5 million for the six months ended June 30, 2026 with no other operating expenses recognized for the six months ended June 30, 2025. The increase was primarily driven by €0.2 million charge related to the disposal of certain fixed assets and €0.2 million of license and royalty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Liabilities at FVTPL</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3"/>
        <w:gridCol w:w="60"/>
        <w:gridCol w:w="224"/>
        <w:gridCol w:w="902"/>
        <w:gridCol w:w="96"/>
        <w:gridCol w:w="96"/>
        <w:gridCol w:w="224"/>
        <w:gridCol w:w="1024"/>
        <w:gridCol w:w="95"/>
        <w:gridCol w:w="60"/>
        <w:gridCol w:w="168"/>
        <w:gridCol w:w="823"/>
        <w:gridCol w:w="60"/>
        <w:gridCol w:w="60"/>
        <w:gridCol w:w="129"/>
        <w:gridCol w:w="986"/>
        <w:gridCol w:w="235"/>
      </w:tblGrid>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left"/>
              <w:rPr/>
            </w:pPr>
            <w:r>
              <w:rPr/>
              <w:t> </w:t>
            </w:r>
          </w:p>
        </w:tc>
      </w:tr>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5" w:type="dxa"/>
            <w:tcBorders/>
            <w:vAlign w:val="center"/>
          </w:tcPr>
          <w:p>
            <w:pPr>
              <w:pStyle w:val="TableContents"/>
              <w:bidi w:val="0"/>
              <w:spacing w:before="0" w:after="283"/>
              <w:jc w:val="left"/>
              <w:rPr/>
            </w:pPr>
            <w:r>
              <w:rPr/>
              <w:t> </w:t>
            </w:r>
          </w:p>
        </w:tc>
      </w:tr>
      <w:tr>
        <w:trPr/>
        <w:tc>
          <w:tcPr>
            <w:tcW w:w="49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47" w:type="dxa"/>
            <w:gridSpan w:val="14"/>
            <w:tcBorders/>
            <w:vAlign w:val="center"/>
          </w:tcPr>
          <w:p>
            <w:pPr>
              <w:pStyle w:val="TableContents"/>
              <w:bidi w:val="0"/>
              <w:spacing w:before="0" w:after="283"/>
              <w:jc w:val="center"/>
              <w:rPr>
                <w:b/>
              </w:rPr>
            </w:pPr>
            <w:r>
              <w:rPr>
                <w:b/>
              </w:rPr>
              <w:t>(in thousands, except percentages)</w:t>
            </w:r>
          </w:p>
        </w:tc>
        <w:tc>
          <w:tcPr>
            <w:tcW w:w="235" w:type="dxa"/>
            <w:tcBorders/>
            <w:vAlign w:val="center"/>
          </w:tcPr>
          <w:p>
            <w:pPr>
              <w:pStyle w:val="TableContents"/>
              <w:bidi w:val="0"/>
              <w:spacing w:before="0" w:after="283"/>
              <w:jc w:val="left"/>
              <w:rPr/>
            </w:pPr>
            <w:r>
              <w:rPr/>
              <w:t> </w:t>
            </w:r>
          </w:p>
        </w:tc>
      </w:tr>
      <w:tr>
        <w:trPr/>
        <w:tc>
          <w:tcPr>
            <w:tcW w:w="4963"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902" w:type="dxa"/>
            <w:tcBorders/>
            <w:shd w:fill="CCEEFF" w:val="clear"/>
            <w:vAlign w:val="center"/>
          </w:tcPr>
          <w:p>
            <w:pPr>
              <w:pStyle w:val="TableContents"/>
              <w:bidi w:val="0"/>
              <w:spacing w:before="0" w:after="283"/>
              <w:jc w:val="right"/>
              <w:rPr/>
            </w:pPr>
            <w:r>
              <w:rPr/>
              <w:t>7,048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(3,033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10,081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-332</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liabilities at FVTPL fluctuated by €10.1 million, or 332% from (€3.0) million for the six months ended June 30, 2025 to €7.0 million for the six months ended June 30, 2026. The change was primarily attributable to a €7.0 million income recognized for the fair value remeasurement of the ORA Bonds (as defined below) prior to conversion, compared to €3.0 million expense recognized for the fair value remeasurements of the ORA Bonds and OCA Bonds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w:t>
      </w:r>
    </w:p>
    <w:p>
      <w:pPr>
        <w:pStyle w:val="TextBody"/>
        <w:bidi w:val="0"/>
        <w:spacing w:before="0" w:after="0"/>
        <w:ind w:left="0" w:right="0" w:firstLine="720"/>
        <w:jc w:val="left"/>
        <w:rPr>
          <w:caps w:val="false"/>
          <w:smallCaps w:val="false"/>
        </w:rPr>
      </w:pPr>
      <w:r>
        <w:rPr>
          <w:caps w:val="false"/>
          <w:smallCaps w:val="false"/>
        </w:rPr>
        <w:t> </w:t>
      </w:r>
    </w:p>
    <w:tbl>
      <w:tblPr>
        <w:tblW w:w="6758" w:type="dxa"/>
        <w:jc w:val="left"/>
        <w:tblInd w:w="0" w:type="dxa"/>
        <w:tblLayout w:type="fixed"/>
        <w:tblCellMar>
          <w:top w:w="0" w:type="dxa"/>
          <w:left w:w="0" w:type="dxa"/>
          <w:bottom w:w="0" w:type="dxa"/>
          <w:right w:w="0" w:type="dxa"/>
        </w:tblCellMar>
      </w:tblPr>
      <w:tblGrid>
        <w:gridCol w:w="1535"/>
        <w:gridCol w:w="60"/>
        <w:gridCol w:w="238"/>
        <w:gridCol w:w="952"/>
        <w:gridCol w:w="102"/>
        <w:gridCol w:w="102"/>
        <w:gridCol w:w="238"/>
        <w:gridCol w:w="952"/>
        <w:gridCol w:w="60"/>
        <w:gridCol w:w="60"/>
        <w:gridCol w:w="267"/>
        <w:gridCol w:w="727"/>
        <w:gridCol w:w="60"/>
        <w:gridCol w:w="60"/>
        <w:gridCol w:w="209"/>
        <w:gridCol w:w="906"/>
        <w:gridCol w:w="230"/>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33"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1,414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28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increased by €0.3 million, or 28% from €1.1 million for the six months ended June 30, 2025 to €1.4 million for the six months ended June 30, 2026. The increase was driven by a €0.7 million increase in financial income earned on cash equivalents, partially offset by a €0.4 million decrease in foreign exchange gains on financial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tbl>
      <w:tblPr>
        <w:tblW w:w="6841" w:type="dxa"/>
        <w:jc w:val="left"/>
        <w:tblInd w:w="0" w:type="dxa"/>
        <w:tblLayout w:type="fixed"/>
        <w:tblCellMar>
          <w:top w:w="0" w:type="dxa"/>
          <w:left w:w="0" w:type="dxa"/>
          <w:bottom w:w="0" w:type="dxa"/>
          <w:right w:w="0" w:type="dxa"/>
        </w:tblCellMar>
      </w:tblPr>
      <w:tblGrid>
        <w:gridCol w:w="1550"/>
        <w:gridCol w:w="60"/>
        <w:gridCol w:w="212"/>
        <w:gridCol w:w="962"/>
        <w:gridCol w:w="144"/>
        <w:gridCol w:w="90"/>
        <w:gridCol w:w="212"/>
        <w:gridCol w:w="962"/>
        <w:gridCol w:w="95"/>
        <w:gridCol w:w="60"/>
        <w:gridCol w:w="233"/>
        <w:gridCol w:w="761"/>
        <w:gridCol w:w="95"/>
        <w:gridCol w:w="60"/>
        <w:gridCol w:w="334"/>
        <w:gridCol w:w="781"/>
        <w:gridCol w:w="230"/>
      </w:tblGrid>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left"/>
              <w:rPr>
                <w:b/>
              </w:rPr>
            </w:pPr>
            <w:r>
              <w:rPr>
                <w:b/>
              </w:rPr>
              <w:t>% Change</w:t>
            </w:r>
          </w:p>
        </w:tc>
        <w:tc>
          <w:tcPr>
            <w:tcW w:w="23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1"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(1,996</w:t>
            </w:r>
          </w:p>
        </w:tc>
        <w:tc>
          <w:tcPr>
            <w:tcW w:w="14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(1,838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increased by €0.2 million, or 9% from €1.8 million for the six months ended June 30, 2025 to €2.0 million for the six months ended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Financial Expense</w:t>
      </w:r>
    </w:p>
    <w:p>
      <w:pPr>
        <w:pStyle w:val="TextBody"/>
        <w:bidi w:val="0"/>
        <w:spacing w:before="0" w:after="0"/>
        <w:ind w:left="0" w:right="0" w:firstLine="720"/>
        <w:jc w:val="left"/>
        <w:rPr>
          <w:caps w:val="false"/>
          <w:smallCaps w:val="false"/>
        </w:rPr>
      </w:pPr>
      <w:r>
        <w:rPr>
          <w:caps w:val="false"/>
          <w:smallCaps w:val="false"/>
        </w:rPr>
        <w:t> </w:t>
      </w:r>
    </w:p>
    <w:tbl>
      <w:tblPr>
        <w:tblW w:w="7528" w:type="dxa"/>
        <w:jc w:val="left"/>
        <w:tblInd w:w="0" w:type="dxa"/>
        <w:tblLayout w:type="fixed"/>
        <w:tblCellMar>
          <w:top w:w="0" w:type="dxa"/>
          <w:left w:w="0" w:type="dxa"/>
          <w:bottom w:w="0" w:type="dxa"/>
          <w:right w:w="0" w:type="dxa"/>
        </w:tblCellMar>
      </w:tblPr>
      <w:tblGrid>
        <w:gridCol w:w="2270"/>
        <w:gridCol w:w="60"/>
        <w:gridCol w:w="237"/>
        <w:gridCol w:w="771"/>
        <w:gridCol w:w="161"/>
        <w:gridCol w:w="101"/>
        <w:gridCol w:w="237"/>
        <w:gridCol w:w="1076"/>
        <w:gridCol w:w="95"/>
        <w:gridCol w:w="60"/>
        <w:gridCol w:w="199"/>
        <w:gridCol w:w="796"/>
        <w:gridCol w:w="60"/>
        <w:gridCol w:w="60"/>
        <w:gridCol w:w="169"/>
        <w:gridCol w:w="946"/>
        <w:gridCol w:w="23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3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68"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financial expense</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(521</w:t>
            </w:r>
          </w:p>
        </w:tc>
        <w:tc>
          <w:tcPr>
            <w:tcW w:w="161"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(2,608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expense decreased by €2.1 million, or 80% from €2.6 million for the six months ended June 30, 2025 to €0.5 million for the six months ended June 30, 2026. The decrease was primarily attributable to (i) a €1.6 million decrease in foreign exchange losses on financial transactions and (ii) a €0.5 million decrease in other financial expenses related to bond issuance costs for the ORA Bonds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(Expense) Tax Benefit</w:t>
      </w:r>
    </w:p>
    <w:p>
      <w:pPr>
        <w:pStyle w:val="TextBody"/>
        <w:bidi w:val="0"/>
        <w:spacing w:before="0" w:after="0"/>
        <w:ind w:left="0" w:right="0" w:firstLine="720"/>
        <w:jc w:val="left"/>
        <w:rPr>
          <w:caps w:val="false"/>
          <w:smallCaps w:val="false"/>
        </w:rPr>
      </w:pPr>
      <w:r>
        <w:rPr>
          <w:caps w:val="false"/>
          <w:smallCaps w:val="false"/>
        </w:rPr>
        <w:t> </w:t>
      </w:r>
    </w:p>
    <w:tbl>
      <w:tblPr>
        <w:tblW w:w="8021" w:type="dxa"/>
        <w:jc w:val="left"/>
        <w:tblInd w:w="0" w:type="dxa"/>
        <w:tblLayout w:type="fixed"/>
        <w:tblCellMar>
          <w:top w:w="0" w:type="dxa"/>
          <w:left w:w="0" w:type="dxa"/>
          <w:bottom w:w="0" w:type="dxa"/>
          <w:right w:w="0" w:type="dxa"/>
        </w:tblCellMar>
      </w:tblPr>
      <w:tblGrid>
        <w:gridCol w:w="2765"/>
        <w:gridCol w:w="60"/>
        <w:gridCol w:w="351"/>
        <w:gridCol w:w="840"/>
        <w:gridCol w:w="238"/>
        <w:gridCol w:w="150"/>
        <w:gridCol w:w="351"/>
        <w:gridCol w:w="652"/>
        <w:gridCol w:w="60"/>
        <w:gridCol w:w="60"/>
        <w:gridCol w:w="293"/>
        <w:gridCol w:w="701"/>
        <w:gridCol w:w="95"/>
        <w:gridCol w:w="60"/>
        <w:gridCol w:w="129"/>
        <w:gridCol w:w="986"/>
        <w:gridCol w:w="230"/>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8"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 </w:t>
            </w: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6" w:type="dxa"/>
            <w:gridSpan w:val="14"/>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(expense) tax benefit</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283"/>
              <w:jc w:val="right"/>
              <w:rPr/>
            </w:pPr>
            <w:r>
              <w:rPr/>
              <w:t>(20</w:t>
            </w:r>
          </w:p>
        </w:tc>
        <w:tc>
          <w:tcPr>
            <w:tcW w:w="238"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01"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-165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(expense) tax benefit decreased by €0.1 million, or 165% from €0.0 million for the six months ended June 30, 2025 to (€0.0)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Pasqal has incurred significant losses and as of June 30, 2026, Pasqal had an accumulated deficit of €124.9 million. For the six months ended June 30, 2026 and 2025, Pasqal incurred net losses of €53.2 million and €26.1 million, respectively. Pasqal expects to incur significant losses for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has historically funded its operations, capital expenditures, and working capital requirements from issuances of shares and convertible bonds, loans and borrowings from financial institutions, net proceeds from the closing of the Business Combination, and grants received from government organizations. As of June 30, 2026, Pasqal had cash and cash equivalents of €110.8 million. Pasqal believes that its cash and cash equivalents as of June 30, 2026 and the proceeds from the closing of the Business Combination and the March 2026 Financing will be sufficient to meet its working capital and capital expenditure needs for the next twelve months from the date of this Discussion and Analysis.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receives cash from government grants, which may not be recurring in nature. For the six months ended June 30, 2026 and 2025, the Company received government investment and income-related grants in cash of €0.5 million and €3.4 million, respectively. These government grants historically received were awarded by local governments in France, other European countries, and South Korea, primarily in recognition of Pasqal’s contributions to its research, development, and industrial deployment programs and projects. These grants are typically evaluated on an annual or project basis, based on prevailing local regulations and policies, and are thus non-recurring in nature. Consequently, there is no guarantee that Pasqal will continue receiving or benefiting from them in the future and it is also challenging for Pasqal to predict the amounts of future grants. Under the terms and conditions of the government grants received and anticipated to be received, in some cases, the Company is required to meet certain requirements such as achievement of certain technological milestones, achievement of employment targets, and execution of committed investment expenditures. There can be no assurance that Pasqal will be able to fully satisfy these conditions or perform such obligations, and it is possible that regulatory authorities may discontinue such grants or require Pasqal to repay part or all of the government grants Pasqal previously received. Any reduction, cancellation, or repayment resulting from Pasqal’s failure to perform such obligations could adversely affect Pasqal’s business,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Date, Pasqal completed the Business Combination and received aggregate proceeds of $27.7 million from the trust account established in connection with Bleichroeder’s initial public offering. Substantially concurrently with the closing of the Business Combination, Pasqal consummated the March 2026 Financing and received aggregate proceeds of $250.0 million. Pasqal expects that the proceeds from the Business Combination and the March 2026 Financing, together with cash flows from operating activities and proceeds from future debt and equity financings, are expected to support its ongoing business operations and future growth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future capital requirements will depend on several factors, including its ability to attract and retain customers, the continuing market acceptance of its products and services, the introduction of new or upgraded products and services, the technological choices it makes, the expansion of sales and marketing activities, and overall economic conditions. Pasqal’s primary short-term cash requirements are to fund working capital and lease obligations. Working capital requirements can vary significantly from period to period, particularly as a result of the timing of receipts and disbursements related to long-term contracts. Pasqal’s medium-term to long-term cash requirements are primarily to invest in facilities, equipment, technologies, personnel, research and development, and strategic acquisitions. Pasqal could be required, or could elect, to seek additional funding through public or private equity or debt financings or other capital sources; however, additional funds may not be available on terms acceptable to Pasqal, if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product roadmap benefits significantly from external funding sources to advance the technological roadmap across quantum computing. Pasqal invests aggressively in research and development across quantum computing, including capital expenditures, business development, and engineering. In addition to the neutral-atom quantum computers in its technological roadmap, Pasqal also provides (i) cloud services that let users run quantum algorithms, simulations, and applications without specialized on-premises hardware and (ii) a software suite that enables the design, compilation, and integration of quantum algorithms into existing applications and workflows. Pasqal expects to continue to invest in research and development as a public company to fund these technological priorities and scale toward digital fault-tolerant quantum computing. While there can be no assurances, Pasqal intends to raise such capital through additional equity or debt fundraising activities. If additional financing is required from outside sources, Pasqal may not be able to raise it on terms acceptable to Pasqal or at all. If Pasqal is unable to raise additional capital when desired, Pasqal’s business, results of operations, and financial condition would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First-Demand Guarantee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contracts entered into with its customers, Saudi Arabian Oil Company and CINECA, Pasqal provided a first-demand bank guarantee in favor of the customers to support its performance obligations under the related agreements. As collateral for this guarantee, Pasqal pledged a cash deposit with the issuing bank; the cash deposit by Pasqal is recognized as deposits within non-current assets in Pasqal’s condensed half-year consolidated financial statements. As of June 30, 2026, the associated pledged deposit for Saudi Arabian Oil Company and CINECA was €7.6 million and €0.3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Pasqal’s outstanding borrowings, including accrued interest and excluding any redeemable and convertible bonds, consisted of the following:</w:t>
      </w:r>
    </w:p>
    <w:p>
      <w:pPr>
        <w:pStyle w:val="TextBody"/>
        <w:bidi w:val="0"/>
        <w:spacing w:before="0" w:after="0"/>
        <w:ind w:left="0" w:right="0" w:firstLine="720"/>
        <w:jc w:val="left"/>
        <w:rPr>
          <w:caps w:val="false"/>
          <w:smallCaps w:val="false"/>
        </w:rPr>
      </w:pPr>
      <w:r>
        <w:rPr>
          <w:caps w:val="false"/>
          <w:smallCaps w:val="false"/>
        </w:rPr>
        <w:t> </w:t>
      </w:r>
    </w:p>
    <w:tbl>
      <w:tblPr>
        <w:tblW w:w="6343" w:type="dxa"/>
        <w:jc w:val="left"/>
        <w:tblInd w:w="0" w:type="dxa"/>
        <w:tblLayout w:type="fixed"/>
        <w:tblCellMar>
          <w:top w:w="0" w:type="dxa"/>
          <w:left w:w="0" w:type="dxa"/>
          <w:bottom w:w="0" w:type="dxa"/>
          <w:right w:w="0" w:type="dxa"/>
        </w:tblCellMar>
      </w:tblPr>
      <w:tblGrid>
        <w:gridCol w:w="3800"/>
        <w:gridCol w:w="60"/>
        <w:gridCol w:w="149"/>
        <w:gridCol w:w="725"/>
        <w:gridCol w:w="60"/>
        <w:gridCol w:w="60"/>
        <w:gridCol w:w="241"/>
        <w:gridCol w:w="1173"/>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BDC Capital Inc.</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2,090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Investissement Québec - Pasqal Canada</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2,691</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BPI Amorçage Investissement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1,256</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BPI Innovation R&amp;D</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1,067</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BPI Assurance Prospection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IFA Loan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1,930</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Other borrowings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1,492</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borrowings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10,650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2,854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2,886</w:t>
            </w:r>
          </w:p>
        </w:tc>
        <w:tc>
          <w:tcPr>
            <w:tcW w:w="7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7,796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7,640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Total borrowings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10,650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Pasqal’s outstanding borrowings consist of primarily of the below debt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BDC Capital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2024, Pasqal entered into a loan agreement with BDC Capital Inc. in the aggregate principal amount of €2.0 million. The loan bears interest at a fixed rate of 15.00 % per annum and matured on September 19, 2026. The loan was repaid in full on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Investissement Québec — Pasqal Canada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2024, Pasqal entered into a loan agreement with Investissement Québec for a facility of up to CAD 15.0 million or €9.9 million, with a maturity date of September 27, 2034. On September 27, 2024, Pasqal received an initial disbursement under the facility of CAD 4.2 million or €2.8 million. In addition, on April 14, 2025, Pasqal received an additional drawdown under the facility of CAD 1.1 million or €0.7 million. Borrowings under the facility bear interest at a fixed rate of 4.09%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BPI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Pasqal entered into an Amorçage Investissement loan with BPI in an aggregate principal amount of €2.0 million, with a maturity date of December 31, 2029. The loan bears interest at a fixed rate of 3.57%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2021, Pasqal entered into an Innovation R&amp;D loan with BPI in an aggregate principal amount of €2.0 million, with a maturity date of June 30, 2029. The loan bears interest at a fixed rate of 0.71%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IFA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2025, Pasqal entered into a USD 15.0 million or €12.9 million ten-year financing arrangement with the Illinois Finance Authority (“</w:t>
      </w:r>
      <w:r>
        <w:rPr>
          <w:rFonts w:ascii="Times New Roman;Times;Serif" w:hAnsi="Times New Roman;Times;Serif"/>
          <w:b/>
          <w:i w:val="false"/>
          <w:caps w:val="false"/>
          <w:smallCaps w:val="false"/>
          <w:sz w:val="20"/>
        </w:rPr>
        <w:t>IFA</w:t>
      </w:r>
      <w:r>
        <w:rPr>
          <w:rFonts w:ascii="Times New Roman;Times;Serif" w:hAnsi="Times New Roman;Times;Serif"/>
          <w:b w:val="false"/>
          <w:i w:val="false"/>
          <w:caps w:val="false"/>
          <w:smallCaps w:val="false"/>
          <w:sz w:val="20"/>
        </w:rPr>
        <w:t>”) to support its development in the U.S. As of December 31, 2025, Pasqal had drawn €5.1 million under the IFA loan. The IFA loan bears interest at a fixed rate of 3.55% per annum and includes a deferred-interest period; the IFA loan bears an interest rate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Pasqal entered into a long-term Tax Credit Agreement with the State of Illinois (“</w:t>
      </w:r>
      <w:r>
        <w:rPr>
          <w:rFonts w:ascii="Times New Roman;Times;Serif" w:hAnsi="Times New Roman;Times;Serif"/>
          <w:b/>
          <w:i w:val="false"/>
          <w:caps w:val="false"/>
          <w:smallCaps w:val="false"/>
          <w:sz w:val="20"/>
        </w:rPr>
        <w:t>MICRO</w:t>
      </w:r>
      <w:r>
        <w:rPr>
          <w:rFonts w:ascii="Times New Roman;Times;Serif" w:hAnsi="Times New Roman;Times;Serif"/>
          <w:b w:val="false"/>
          <w:i w:val="false"/>
          <w:caps w:val="false"/>
          <w:smallCaps w:val="false"/>
          <w:sz w:val="20"/>
        </w:rPr>
        <w:t>”), under which it may earn refundable tax credits over a ten-year period based on eligible expenses. The revocation of MICRO credits constitutes an event of default under the loan agreement. A variable fee may be owed to the IFA for quantum computers manufactured at the Illinois site and sold or leased during the loan term. As of June 30, 2026, no such fee has been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arrangements described above are not subject to financial covenants that could affect the terms, repayment schedule, or continuity of the financing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OCA Bonds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2024, Pasqal issued convertible bonds to CMA CGM Group for an aggregate principal amount of €5.0 million with an interest rate of 5% per annum and maturity date of December 31, 2025 (the “</w:t>
      </w:r>
      <w:r>
        <w:rPr>
          <w:rFonts w:ascii="Times New Roman;Times;Serif" w:hAnsi="Times New Roman;Times;Serif"/>
          <w:b/>
          <w:i w:val="false"/>
          <w:caps w:val="false"/>
          <w:smallCaps w:val="false"/>
          <w:sz w:val="20"/>
        </w:rPr>
        <w:t>OCA Bonds</w:t>
      </w:r>
      <w:r>
        <w:rPr>
          <w:rFonts w:ascii="Times New Roman;Times;Serif" w:hAnsi="Times New Roman;Times;Serif"/>
          <w:b w:val="false"/>
          <w:i w:val="false"/>
          <w:caps w:val="false"/>
          <w:smallCaps w:val="false"/>
          <w:sz w:val="20"/>
        </w:rPr>
        <w:t>”). The OCA Bonds are converted into the most senior class of shares upon a change of control or at the option of the holder, at maturity. The OCA Bonds also convert upon a qualifying raise that occurs more than three months from the OCA Bonds’ issuance date, into the same class of shares issued to investors in that raise. In addition to the conversion features, the OCA Bonds have redemption features which permits the holder of the OCA Bonds to redeem for cash upon an event of default, upon a qualifying raise that occurs within three months from the OCA Bonds’ issuance date, or at maturity.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the CMA CGM Group requested repayment of an amount equal to the aggregate principal and accrued interest, totaling €5.3 million. The liability due to CMA CGM Group was settled through the issuance of convertible bonds for €5.3 million (the “</w:t>
      </w:r>
      <w:r>
        <w:rPr>
          <w:rFonts w:ascii="Times New Roman;Times;Serif" w:hAnsi="Times New Roman;Times;Serif"/>
          <w:b/>
          <w:i w:val="false"/>
          <w:caps w:val="false"/>
          <w:smallCaps w:val="false"/>
          <w:sz w:val="20"/>
        </w:rPr>
        <w:t>ORA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Redeemable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ORA Bonds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2025 and December 2025, Pasqal issued ORA Bonds to various parties for an aggregate principal amount of €68.3 million with an interest rate per annum of 12% and maturity date of June 30, 2026. The ORA Bonds are converted to either Series B or Series C shares, accompanied by the related ratchet warrants, upon the occurrence of one of the following events: qualified equity financing, non-qualified equity financing (at the option of the holder), exit event, IPO event, event of default, at maturity date, or any other mutually agreed redemption event. On March 2, 2026, the ORA Bonds were converted to 682,542 Series C shares at €139.54 per share, accompanied by ratchet warrants as a result of the issuance of Series C shares on February 28, 2026, which represented a qualified equity financing redemption event.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conversion, Pasqal remeasured the fair value of the ORA Bonds as of the conversion date and derecognized the carrying amount of the liability, with a corresponding increase to equity. Accordingly, Pasqal recognized €7.0 million of change in fair value in the condensed half-year consolidated statement of profit or loss immediately prior to the conversion. As the ratchet warrants attached to the Series C shares were determined to have a nil fair value at inception, the entire fair value of the ORA Bonds at the conversion date was allocated to the Series C shares issued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Pasqal executed a shareholders’ agreement with certain new and existing investors for the issuance of 225,741 Series C shares of Pasqal for total proceeds of €31.5 million, at a per-share price of €139.54. During January and February 2026, Pasqal issued 499,769 Series C shares at a price of €139.54 per share, for total proceeds of €69.7 million. Under the terms of the shareholders agreement, the Series C have the following ratchet warrants attached (collectively referred to as the “</w:t>
      </w:r>
      <w:r>
        <w:rPr>
          <w:rFonts w:ascii="Times New Roman;Times;Serif" w:hAnsi="Times New Roman;Times;Serif"/>
          <w:b/>
          <w:i w:val="false"/>
          <w:caps w:val="false"/>
          <w:smallCaps w:val="false"/>
          <w:sz w:val="20"/>
        </w:rPr>
        <w:t>BSA Ratchets</w:t>
      </w:r>
      <w:r>
        <w:rPr>
          <w:rFonts w:ascii="Times New Roman;Times;Serif" w:hAnsi="Times New Roman;Times;Serif"/>
          <w:b w:val="false"/>
          <w:i w:val="false"/>
          <w:caps w:val="false"/>
          <w:smallCaps w:val="false"/>
          <w:sz w:val="20"/>
        </w:rPr>
        <w:t>”):</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attached to all Pasqal Series C shares and entitle the holder to subscribe, at a nominal value, for additional Pasqal Series C shares in the event that Pasqal issues new shares or other securities that give access to a portion of its share capital based on a per-share price lower than the per-share price in the Series C financing of €139.54. The BSA Ratchet C warrants cease to be exercisable on the date Pasqal completes a direct or indirect initial public offering, including in connection with the Business Combination.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held by any participant in Series C financing whose investment was completed or committed prior to December 31, 2025 and entitle the holder to subscribe, at a nominal value, for additional Pasqal Series C shares in the event that Pasqal completes an initial public offering, including through a special purpose acquisition company, under which the pre-money valuation of Pasqal on a fully-diluted basis is less than $2.0 billion (a “</w:t>
            </w:r>
            <w:r>
              <w:rPr>
                <w:b/>
              </w:rPr>
              <w:t>Qualified IPO</w:t>
            </w:r>
            <w:r>
              <w:rPr/>
              <w:t>”). The BSA Ratchet C* warrants cease to be exercisable following a period of sixty days from the notification by Pasqal of either a Qualified IPO or a direct or indirect initial public offering project (including in connection with the Business Combination) with a pre-money valuation of Pasqal on a fully diluted basis that is greater than or equal to USD $2.0 billion.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t>BSA Ratchet C**” warrants are held by any participant in Series C financing whose investment was completed or committed prior to December 31, 2025 and entitle the holder to subscribe, at a nominal value, for additional Pasqal Series C shares in the event Pasqal does not sign a business combination agreement with a special purpose acquisition company. Upon execution of the Business Combination Agreement on February 28, 2026, the BSA Ratchet C** warrants expired.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primary use of cash is to fund its business operations, which consist primarily of employee-related costs, research and development activities, working capital requirements, lease obligations, capital expenditures and other anticipated costs to scale operations in the future and operate as a public company. Pasqal requires a significant amount of cash for expenditures and continued investment in ongoing quantum research and development and business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research, development, and commercialization of Pasqal’s quantum technology, Pasqal is unable to estimate the exact amount of its working capital requirements. Pasqal’s operating plan may change because of factors currently unknown, and Pasqal may need to seek additional funds sooner than planned, through public or private equity or debt financings or other sources, such as strategic collaborations or other transactions. In addition, Pasqal may seek additional capital even if Pasqal believes that it has sufficient funds for current or future operating plans.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the business. Debt financing and equity financing, if available, may involve agreements that include covenants limiting or restricting Pasqal’s ability to take specific actions, such as incurring additional debt, making capital expenditures or declaring dividends. If Pasqal is unable to raise additional funds through equity or debt financings when needed, Pasqal may be required to delay, limit, or substantially reduce its quantum computing development efforts. Pasqal’s future capital requirements and the adequacy of available funds will depend on many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Pasqal’s contractual obligations and commitments are related to its lease obligations for office spaces and manufacturing facilities and contractual payments on its outstanding borrowings described above. The following table summarizes Pasqal’s contractual obligations and commitments as of June 30, 2026. The amounts are gross and undiscounted, and include contractual interest payments and anticipated prepayments and related penalties:</w:t>
      </w:r>
    </w:p>
    <w:p>
      <w:pPr>
        <w:pStyle w:val="TextBody"/>
        <w:bidi w:val="0"/>
        <w:spacing w:before="0" w:after="0"/>
        <w:ind w:left="0" w:right="0" w:hanging="0"/>
        <w:jc w:val="left"/>
        <w:rPr>
          <w:caps w:val="false"/>
          <w:smallCaps w:val="false"/>
        </w:rPr>
      </w:pPr>
      <w:r>
        <w:rPr>
          <w:caps w:val="false"/>
          <w:smallCaps w:val="false"/>
        </w:rPr>
        <w:t> </w:t>
      </w:r>
    </w:p>
    <w:tbl>
      <w:tblPr>
        <w:tblW w:w="9329" w:type="dxa"/>
        <w:jc w:val="left"/>
        <w:tblInd w:w="0" w:type="dxa"/>
        <w:tblLayout w:type="fixed"/>
        <w:tblCellMar>
          <w:top w:w="0" w:type="dxa"/>
          <w:left w:w="0" w:type="dxa"/>
          <w:bottom w:w="0" w:type="dxa"/>
          <w:right w:w="0" w:type="dxa"/>
        </w:tblCellMar>
      </w:tblPr>
      <w:tblGrid>
        <w:gridCol w:w="3845"/>
        <w:gridCol w:w="60"/>
        <w:gridCol w:w="164"/>
        <w:gridCol w:w="801"/>
        <w:gridCol w:w="60"/>
        <w:gridCol w:w="60"/>
        <w:gridCol w:w="213"/>
        <w:gridCol w:w="1037"/>
        <w:gridCol w:w="60"/>
        <w:gridCol w:w="60"/>
        <w:gridCol w:w="181"/>
        <w:gridCol w:w="724"/>
        <w:gridCol w:w="60"/>
        <w:gridCol w:w="60"/>
        <w:gridCol w:w="161"/>
        <w:gridCol w:w="788"/>
        <w:gridCol w:w="60"/>
        <w:gridCol w:w="60"/>
        <w:gridCol w:w="160"/>
        <w:gridCol w:w="640"/>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Contractual</w:t>
              <w:br/>
              <w:t>Cash Flow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Within 1</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Between </w:t>
              <w:br/>
              <w:t xml:space="preserve">1 and </w:t>
              <w:b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Beyond</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49" w:type="dxa"/>
            <w:gridSpan w:val="18"/>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9,879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4,554</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BDC Capital Inc.</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Investissement Québec – Pasqal Canada</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3,490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1,432</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BPI Amorçage Investissement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BPI Innovation R&amp;D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BPI Assurance Prospection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IFA Loan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5,266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2,229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3,037</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Other borrowings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pPr>
            <w:r>
              <w:rPr/>
              <w:t>20,529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pPr>
            <w:r>
              <w:rPr/>
              <w:t>26,938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4" w:type="dxa"/>
            <w:tcBorders>
              <w:bottom w:val="double" w:sz="10" w:space="0" w:color="000000"/>
            </w:tcBorders>
            <w:shd w:fill="FFFFFF" w:val="clear"/>
            <w:tcMar>
              <w:bottom w:w="28" w:type="dxa"/>
            </w:tcMar>
            <w:vAlign w:val="center"/>
          </w:tcPr>
          <w:p>
            <w:pPr>
              <w:pStyle w:val="TableContents"/>
              <w:bidi w:val="0"/>
              <w:spacing w:before="0" w:after="283"/>
              <w:jc w:val="right"/>
              <w:rPr/>
            </w:pPr>
            <w:r>
              <w:rPr/>
              <w:t>4,105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13,810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40" w:type="dxa"/>
            <w:tcBorders>
              <w:bottom w:val="double" w:sz="10" w:space="0" w:color="000000"/>
            </w:tcBorders>
            <w:shd w:fill="FFFFFF" w:val="clear"/>
            <w:tcMar>
              <w:bottom w:w="28" w:type="dxa"/>
            </w:tcMar>
            <w:vAlign w:val="center"/>
          </w:tcPr>
          <w:p>
            <w:pPr>
              <w:pStyle w:val="TableContents"/>
              <w:bidi w:val="0"/>
              <w:spacing w:before="0" w:after="283"/>
              <w:jc w:val="right"/>
              <w:rPr/>
            </w:pPr>
            <w:r>
              <w:rPr/>
              <w:t>9,023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osition w:val="8"/>
                <w:sz w:val="19"/>
              </w:rPr>
            </w:pPr>
            <w:r>
              <w:rPr>
                <w:position w:val="8"/>
                <w:sz w:val="19"/>
              </w:rPr>
              <w:t>(1)</w:t>
            </w:r>
          </w:p>
        </w:tc>
        <w:tc>
          <w:tcPr>
            <w:tcW w:w="9980" w:type="dxa"/>
            <w:tcBorders/>
            <w:vAlign w:val="center"/>
          </w:tcPr>
          <w:p>
            <w:pPr>
              <w:pStyle w:val="TableContents"/>
              <w:bidi w:val="0"/>
              <w:spacing w:before="0" w:after="283"/>
              <w:jc w:val="both"/>
              <w:rPr/>
            </w:pPr>
            <w:r>
              <w:rPr/>
              <w:t>Excludes commitments and guarantees between Legacy Pasqal and New Pasqal and its subsidiaries and the first-demand guarantees in connection with the contracts entered into with Saudi Arabian Oil Company and CINECA.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Pasqal’s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4100"/>
        <w:gridCol w:w="60"/>
        <w:gridCol w:w="186"/>
        <w:gridCol w:w="1003"/>
        <w:gridCol w:w="126"/>
        <w:gridCol w:w="79"/>
        <w:gridCol w:w="186"/>
        <w:gridCol w:w="1003"/>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(25,194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Net 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(4,970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(3,145</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Net 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67,251</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3" w:type="dxa"/>
            <w:tcBorders>
              <w:bottom w:val="single" w:sz="12" w:space="0" w:color="000000"/>
            </w:tcBorders>
            <w:shd w:fill="CCEEFF" w:val="clear"/>
            <w:tcMar>
              <w:bottom w:w="28" w:type="dxa"/>
            </w:tcMar>
            <w:vAlign w:val="center"/>
          </w:tcPr>
          <w:p>
            <w:pPr>
              <w:pStyle w:val="TableContents"/>
              <w:bidi w:val="0"/>
              <w:spacing w:before="0" w:after="283"/>
              <w:jc w:val="right"/>
              <w:rPr/>
            </w:pPr>
            <w:r>
              <w:rPr/>
              <w:t>41,523</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37,087</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03" w:type="dxa"/>
            <w:tcBorders>
              <w:bottom w:val="double" w:sz="10" w:space="0" w:color="000000"/>
            </w:tcBorders>
            <w:shd w:fill="FFFFFF" w:val="clear"/>
            <w:tcMar>
              <w:bottom w:w="28" w:type="dxa"/>
            </w:tcMar>
            <w:vAlign w:val="center"/>
          </w:tcPr>
          <w:p>
            <w:pPr>
              <w:pStyle w:val="TableContents"/>
              <w:bidi w:val="0"/>
              <w:spacing w:before="0" w:after="283"/>
              <w:jc w:val="right"/>
              <w:rPr/>
            </w:pPr>
            <w:r>
              <w:rPr/>
              <w:t>18,422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2026, was €25.2 million, resulting primarily from a net loss of €53.2 million, offset by €22.7 million in net change of non-cash adjustments and interest paid in the period, and changes in operating assets and liabilities of €5.3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€22.7 million in non-cash adjustments and interest paid primarily include share-based payment and other personnel expenses of €23.4 million, depreciation of property, plant and equipment and amortization of intangible assets and impairments of €4.4 million, financial expense of €1.7 million, and interest paid of €0.2 million, partially offset by changes in the fair value of financial liabilities at FVTPL of €7.0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€5.3 million change in operating assets and liabilities for the six months ended June 30, 2026 consisted primarily of a €4.0 million increase in contract liabilities, a €4.4 million increase in trade payables and related accounts, and a €6.6 million increase in other liabilities, offset by a €5.6 million increase in other receivables, a €0.5 million increase in trade receivables and related accounts, and a €3.5 million increase in inventories. The increase in contract liabilities was primarily due to an increase in advance billings under customer contracts and amounts related to the financing component of the Saudi Arabian Oil Company contract remaining in contract liabilities, partially offset by revenue recognized during the period. The increase in trade payables and related accounts was mainly attributable to legal, audit and consulting fees incurred in connection with the Business Combination and provision and accrued invoices recognized associated with the DistriQ project. The increase in other liabilities was primarily due to (i) higher social security liabilities and VAT liabilities, consisting of VAT collected on DistriQ billings in Canada and VAT-related obligations in Saudi Arabia and (ii) increase in the expense recognized for cash-settled SARs during the period. The increase in other receivables was primarily due to (i) higher French research tax credit receivables and receivables related to Canadian funding programs, reflecting the level of eligible expenditures incurred during the period, (ii) an increase in VAT receivables in France and Canada, and (iii) changes in prepaid expenses and other operating receivables. The increase in trade receivables and related accounts was primarily due to the initial billings under the Saudi Arabian Oil Company contract and final billings under the DistriQ contract offset by cash collections during the period from other customers. The increase in inventories was primarily due to a €1.2 million reversal of a previously recognized inventory impairment charge in connection with the agreement with DistriQ and an increase in purchases of raw materials held in inventory.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was €5.0 million, resulting primarily from the purchase of property, plant and equipment of €2.0 million, purchase of intangible assets of €2.4 million, change in deposits of €0.4 million, and payment of €0.5 million to former shareholders of MyCryoFirm, which was acquired by Pasqal in 2022, offset by receipt of government investment grants of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during the six months ended June 30, 2026, was €67.3 million resulting primarily from proceeds from capital increases of €68.5 million, offset by the repayment of borrowings and lease liabilities of €1.1 million and interest payments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2025, was €20.0 million, resulting primarily from a net loss of €26.1 million and a change in operating assets and liabilities of €0.5 million, offset by €6.6 million in net change of non-cash adjustments and interest paid in the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€6.6 million in non-cash adjustments and interest paid primarily include share-based payment and other personnel expenses of €0.7 million, change in provisions of €4.4 million, depreciation of property, plant and equipment and amortization of intangible assets and impairments of €4.3 million, change in fair value of financial liabilities at FVTPL of €3.0 million, financial expense of €2.7 million, and interest paid of €0.4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€0.5 million change in operating assets and liabilities for the six months ended June 30, 2025 consisted of €2.0 million increase in contract liabilities, €3.8 million increase in trade payables and related accounts, €3.0 million increase in other liabilities, and €0.8 million decrease in trade receivables and related accounts, offset by €2.8 million increase in inventories and €7.2 million increase in other receivables. The increase in contract liabilities was mainly due to an increase in advances received from customers. The increase in trade payables and related accounts was primarily due to higher legal, audit, and consulting fees. The increase in other liabilities was primarily due to higher employee-related liabilities. The decrease in trade receivables and related accounts was primarily driven by lower accrued receivables for customers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increase in inventories was primarily due to the purchase of parts required to manufacture the quantum computers with delivery dates in 2025. The increase in other receivables was primarily due to interest receivables from financial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2025, was €3.1 million, resulting from the purchase of property, plant and equipment of €4.9 million, purchase of intangible assets of €0.1 million, and payment of €0.2 million due to the liquidations of certain subsidiaries, offset by the proceeds from the sale of intangible assets of €0.1 million, change in deposits of €0.6 million, and receipt of government grants of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during the six months ended June 30, 2025, was €41.5 million resulting from proceeds from borrowings of €43.5 million, offset by repayments of borrowings of €1.6 million, and interest payments of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 and Judgments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condensed half-year consolidated financial statements are prepared in accordance with IFRS as issued by the IASB. In preparing its condensed half-year consolidated financial statements, Pasqal makes assumptions, judgments and estimates that can have a significant impact on amounts reported in the condensed half-year consolidated financial statements. Pasqal bases its material judgments, estimates and assumptions on historical experience and various other factors, including expectations of future events that are believed to be reasonable under the circumstances. Actual results could differ materially from these estimates under different assumptions or conditions and are recognized prospectively. Pasqal regularly re-evaluates its material judgments,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Pasqal’s critical accounting estimates, assumptions, and judgment applied in the condensed half-year consolidated financial statements are consistent with those described in our Registration Statement on Form F-1.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an “emerging growth company,” as defined in Section 2(a) of the Securities Act of 1933, as amended, as modified by the JOBS Act. As such, Pasqal is eligible to take advantage of certain exemptions from various reporting requirements that are otherwise applicable to other public companies. These provisions include: (i) being permitted to provide only two years of audited financial statements in addition to any required unaudited interim financial statements and a correspondingly reduced “Management’s Discussion and Analysis of Financial Condition and Results of Operations” disclosure; (ii) not being required to comply with the auditor attestation requirements in the assessment of the internal control over financial reporting pursuant to Section 404 of the Sarbanes-Oxley Act; (iii) reduced disclosure obligations regarding executive compensation; (iv) exemptions from the requirements of holding a nonbinding advisory vote on executive compensation and shareholder approval of any golden parachute payments not previously approved; and (v) exemptions from compliance with the requirements of the Public Company Accounting Oversight Board regarding the communication of critical audit matters in the auditor’s report on the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Pasqal has elected not to opt out of such extended transition period which means that when a standard is issued or revised and it has different application dates for public or private companies, Pasqal, as an emerging growth company, will adopt the new or revised standard at the time private companies adopt the new or revised standard. This may make comparison of Pasqal’s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will remain an emerging growth company under the JOBS Act until the earliest of (a) the last day of the fiscal year following the fifth anniversary of the first sale of our common equity securities pursuant to an effective registration statement, (b) the last date of the fiscal year in which Pasqal’s total annual gross revenue is equal to or more than $1.235 billion, (c) the date on which Pasqal is deemed to be a “large accelerated filer” under the rules of the SEC with at least $700.0 million of outstanding securities held by non-affiliates or (d) the date on which Pasqal has issued more than $1.0 billion in non-convertible debt securities during the previous three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using foreign private issuer forms for Exchange Act reporting requirements (Forms 20-F and 6-K), New Pasqal will not be permitted to take advantage of the scaled reporting requirements available for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exposed to market risk in the ordinary course of its business. Market risk represents the risk of loss that may impact Pasqal’s financial position due to adverse changes in financial market prices and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of financial loss due to adverse changes in the value of assets and liabilities as a result of movements in interest rates. As of June 30, 2026, Pasqal’s debt portfolio is comprised entirely of fixed-rate debt. Other than certain interest-bearing assets and instruments classified at amortized cost, Pasqal has no other significant interest-bearing instruments. Pasqal considers its exposure to interest rate risk to be low and does not expect significant impacts from potential interest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arises when future commercial transactions or recognized assets and liabilities are denominated in a currency other than the respective group companies’ functional currency. Pasqal has limited exposure to foreign exchange fluctuations. As of June 30, 2026, substantially all of Pasqal’s revenue was denominated in Euros. In addition, financial liabilities and lease liabilities are primarily denominated in the functional currencies of the respective entities, which further limits its foreign exchange risk exposure. Based on Pasqal’s foreign currency denominated cash balances as of June 30, 2026, a hypothetical 10% change in the relative value of Euros to other currencies during the six months ended June 30, 2026 would not have had a material effect on Pasqal’s condensed half-year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b_003"/>
      <w:bookmarkEnd w:id="6"/>
      <w:r>
        <w:rPr>
          <w:rFonts w:ascii="Times New Roman;Times;Serif" w:hAnsi="Times New Roman;Times;Serif"/>
          <w:b/>
          <w:i w:val="false"/>
          <w:caps w:val="false"/>
          <w:smallCaps w:val="false"/>
          <w:sz w:val="20"/>
        </w:rPr>
        <w:t>Exhibit 99.3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 AT JUNE 30, 2026 AND DECEMBER 31, 2025 AND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HOLDING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9485"/>
        <w:gridCol w:w="140"/>
      </w:tblGrid>
      <w:tr>
        <w:trPr/>
        <w:tc>
          <w:tcPr>
            <w:tcW w:w="9485" w:type="dxa"/>
            <w:tcBorders/>
            <w:shd w:fill="CCEEFF" w:val="clear"/>
            <w:vAlign w:val="center"/>
          </w:tcPr>
          <w:p>
            <w:pPr>
              <w:pStyle w:val="TableContents"/>
              <w:bidi w:val="0"/>
              <w:spacing w:before="0" w:after="283"/>
              <w:jc w:val="left"/>
              <w:rPr/>
            </w:pPr>
            <w:hyperlink w:anchor="a_001">
              <w:r>
                <w:rPr>
                  <w:rStyle w:val="InternetLink"/>
                  <w:sz w:val="20"/>
                </w:rPr>
                <w:t>CONDENSED CONSOLIDATED STATEMENTS OF FINANCIAL POSITION</w:t>
              </w:r>
            </w:hyperlink>
          </w:p>
        </w:tc>
        <w:tc>
          <w:tcPr>
            <w:tcW w:w="140" w:type="dxa"/>
            <w:tcBorders/>
            <w:shd w:fill="CCEEFF" w:val="clear"/>
            <w:vAlign w:val="center"/>
          </w:tcPr>
          <w:p>
            <w:pPr>
              <w:pStyle w:val="TableContents"/>
              <w:bidi w:val="0"/>
              <w:spacing w:before="0" w:after="283"/>
              <w:jc w:val="right"/>
              <w:rPr>
                <w:sz w:val="20"/>
              </w:rPr>
            </w:pPr>
            <w:r>
              <w:rPr>
                <w:sz w:val="20"/>
              </w:rPr>
              <w:t>2</w:t>
            </w:r>
          </w:p>
        </w:tc>
      </w:tr>
      <w:tr>
        <w:trPr/>
        <w:tc>
          <w:tcPr>
            <w:tcW w:w="9485" w:type="dxa"/>
            <w:tcBorders/>
            <w:shd w:fill="FFFFFF" w:val="clear"/>
            <w:vAlign w:val="center"/>
          </w:tcPr>
          <w:p>
            <w:pPr>
              <w:pStyle w:val="TableContents"/>
              <w:bidi w:val="0"/>
              <w:spacing w:before="0" w:after="283"/>
              <w:jc w:val="left"/>
              <w:rPr/>
            </w:pPr>
            <w:hyperlink w:anchor="a_002">
              <w:r>
                <w:rPr>
                  <w:rStyle w:val="InternetLink"/>
                  <w:sz w:val="20"/>
                </w:rPr>
                <w:t xml:space="preserve">CONDENSED CONSOLIDATED STATEMENTS OF PROFIT OR LOSS AND OTHER COMPREHENSIVE INCOME </w:t>
              </w:r>
            </w:hyperlink>
          </w:p>
        </w:tc>
        <w:tc>
          <w:tcPr>
            <w:tcW w:w="140" w:type="dxa"/>
            <w:tcBorders/>
            <w:shd w:fill="FFFFFF" w:val="clear"/>
            <w:vAlign w:val="center"/>
          </w:tcPr>
          <w:p>
            <w:pPr>
              <w:pStyle w:val="TableContents"/>
              <w:bidi w:val="0"/>
              <w:spacing w:before="0" w:after="283"/>
              <w:jc w:val="right"/>
              <w:rPr>
                <w:sz w:val="20"/>
              </w:rPr>
            </w:pPr>
            <w:r>
              <w:rPr>
                <w:sz w:val="20"/>
              </w:rPr>
              <w:t>3</w:t>
            </w:r>
          </w:p>
        </w:tc>
      </w:tr>
      <w:tr>
        <w:trPr/>
        <w:tc>
          <w:tcPr>
            <w:tcW w:w="9485" w:type="dxa"/>
            <w:tcBorders/>
            <w:shd w:fill="CCEEFF" w:val="clear"/>
            <w:vAlign w:val="center"/>
          </w:tcPr>
          <w:p>
            <w:pPr>
              <w:pStyle w:val="TableContents"/>
              <w:bidi w:val="0"/>
              <w:spacing w:before="0" w:after="283"/>
              <w:jc w:val="left"/>
              <w:rPr/>
            </w:pPr>
            <w:hyperlink w:anchor="a_003">
              <w:r>
                <w:rPr>
                  <w:rStyle w:val="InternetLink"/>
                  <w:sz w:val="20"/>
                </w:rPr>
                <w:t>CONDENSED CONSOLIDATED STATEMENTS OF CHANGES IN EQUITY</w:t>
              </w:r>
            </w:hyperlink>
          </w:p>
        </w:tc>
        <w:tc>
          <w:tcPr>
            <w:tcW w:w="140" w:type="dxa"/>
            <w:tcBorders/>
            <w:shd w:fill="CCEEFF" w:val="clear"/>
            <w:vAlign w:val="center"/>
          </w:tcPr>
          <w:p>
            <w:pPr>
              <w:pStyle w:val="TableContents"/>
              <w:bidi w:val="0"/>
              <w:spacing w:before="0" w:after="283"/>
              <w:jc w:val="right"/>
              <w:rPr>
                <w:sz w:val="20"/>
              </w:rPr>
            </w:pPr>
            <w:r>
              <w:rPr>
                <w:sz w:val="20"/>
              </w:rPr>
              <w:t>4</w:t>
            </w:r>
          </w:p>
        </w:tc>
      </w:tr>
      <w:tr>
        <w:trPr/>
        <w:tc>
          <w:tcPr>
            <w:tcW w:w="9485" w:type="dxa"/>
            <w:tcBorders/>
            <w:shd w:fill="FFFFFF" w:val="clear"/>
            <w:vAlign w:val="center"/>
          </w:tcPr>
          <w:p>
            <w:pPr>
              <w:pStyle w:val="TableContents"/>
              <w:bidi w:val="0"/>
              <w:spacing w:before="0" w:after="283"/>
              <w:jc w:val="left"/>
              <w:rPr/>
            </w:pPr>
            <w:hyperlink w:anchor="a_004">
              <w:r>
                <w:rPr>
                  <w:rStyle w:val="InternetLink"/>
                  <w:sz w:val="20"/>
                </w:rPr>
                <w:t>CONDENSED CONSOLIDATED STATEMENTS OF CASH FLOWS</w:t>
              </w:r>
            </w:hyperlink>
          </w:p>
        </w:tc>
        <w:tc>
          <w:tcPr>
            <w:tcW w:w="140" w:type="dxa"/>
            <w:tcBorders/>
            <w:shd w:fill="FFFFFF" w:val="clear"/>
            <w:vAlign w:val="center"/>
          </w:tcPr>
          <w:p>
            <w:pPr>
              <w:pStyle w:val="TableContents"/>
              <w:bidi w:val="0"/>
              <w:spacing w:before="0" w:after="283"/>
              <w:jc w:val="right"/>
              <w:rPr>
                <w:sz w:val="20"/>
              </w:rPr>
            </w:pPr>
            <w:r>
              <w:rPr>
                <w:sz w:val="20"/>
              </w:rPr>
              <w:t>5</w:t>
            </w:r>
          </w:p>
        </w:tc>
      </w:tr>
      <w:tr>
        <w:trPr/>
        <w:tc>
          <w:tcPr>
            <w:tcW w:w="9485" w:type="dxa"/>
            <w:tcBorders/>
            <w:shd w:fill="CCEEFF" w:val="clear"/>
            <w:vAlign w:val="center"/>
          </w:tcPr>
          <w:p>
            <w:pPr>
              <w:pStyle w:val="TableContents"/>
              <w:bidi w:val="0"/>
              <w:spacing w:before="0" w:after="283"/>
              <w:jc w:val="left"/>
              <w:rPr/>
            </w:pPr>
            <w:hyperlink w:anchor="a_005">
              <w:r>
                <w:rPr>
                  <w:rStyle w:val="InternetLink"/>
                  <w:sz w:val="20"/>
                </w:rPr>
                <w:t>NOTES TO THE CONDENSED CONSOLIDATED FINANCIAL STATEMENTS</w:t>
              </w:r>
            </w:hyperlink>
          </w:p>
        </w:tc>
        <w:tc>
          <w:tcPr>
            <w:tcW w:w="140" w:type="dxa"/>
            <w:tcBorders/>
            <w:shd w:fill="CCEEFF" w:val="clear"/>
            <w:vAlign w:val="center"/>
          </w:tcPr>
          <w:p>
            <w:pPr>
              <w:pStyle w:val="TableContents"/>
              <w:bidi w:val="0"/>
              <w:spacing w:before="0" w:after="283"/>
              <w:jc w:val="right"/>
              <w:rPr>
                <w:sz w:val="20"/>
              </w:rPr>
            </w:pPr>
            <w:r>
              <w:rPr>
                <w:sz w:val="20"/>
              </w:rPr>
              <w:t>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bookmarkStart w:id="7" w:name="a_001"/>
      <w:bookmarkEnd w:id="7"/>
      <w:r>
        <w:rPr/>
        <w:t>CONDENSED CONSOLIDATED STATEMENTS OF FINANCIAL POSITION (UNAUDITED)</w:t>
      </w:r>
    </w:p>
    <w:p>
      <w:pPr>
        <w:pStyle w:val="TextBody"/>
        <w:bidi w:val="0"/>
        <w:spacing w:before="0" w:after="0"/>
        <w:ind w:left="0" w:right="0" w:hanging="0"/>
        <w:jc w:val="left"/>
        <w:rPr>
          <w:caps w:val="false"/>
          <w:smallCaps w:val="false"/>
        </w:rPr>
      </w:pPr>
      <w:r>
        <w:rPr>
          <w:caps w:val="false"/>
          <w:smallCaps w:val="false"/>
        </w:rPr>
        <w:t> </w:t>
      </w:r>
    </w:p>
    <w:tbl>
      <w:tblPr>
        <w:tblW w:w="6453" w:type="dxa"/>
        <w:jc w:val="left"/>
        <w:tblInd w:w="0" w:type="dxa"/>
        <w:tblLayout w:type="fixed"/>
        <w:tblCellMar>
          <w:top w:w="0" w:type="dxa"/>
          <w:left w:w="0" w:type="dxa"/>
          <w:bottom w:w="28" w:type="dxa"/>
          <w:right w:w="0" w:type="dxa"/>
        </w:tblCellMar>
      </w:tblPr>
      <w:tblGrid>
        <w:gridCol w:w="3290"/>
        <w:gridCol w:w="60"/>
        <w:gridCol w:w="560"/>
        <w:gridCol w:w="60"/>
        <w:gridCol w:w="61"/>
        <w:gridCol w:w="813"/>
        <w:gridCol w:w="60"/>
        <w:gridCol w:w="60"/>
        <w:gridCol w:w="97"/>
        <w:gridCol w:w="1317"/>
        <w:gridCol w:w="75"/>
      </w:tblGrid>
      <w:tr>
        <w:trPr/>
        <w:tc>
          <w:tcPr>
            <w:tcW w:w="32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i/>
              </w:rPr>
            </w:pPr>
            <w:r>
              <w:rPr>
                <w:i/>
              </w:rPr>
              <w:t>Notes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19,643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19,676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Other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18,858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17,451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30,346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28,119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8,346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8,978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Deposits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8,802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8,421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8,667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pPr>
            <w:r>
              <w:rPr/>
              <w:t>1,198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94,662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83,844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Inventories,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11,796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11,309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Trade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6,109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5,608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Government grant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8,181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Tax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5,315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3,111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3,110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pPr>
            <w:r>
              <w:rPr/>
              <w:t>2,010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FFFFFF" w:val="clear"/>
            <w:vAlign w:val="center"/>
          </w:tcPr>
          <w:p>
            <w:pPr>
              <w:pStyle w:val="TableContents"/>
              <w:bidi w:val="0"/>
              <w:spacing w:before="0" w:after="283"/>
              <w:jc w:val="left"/>
              <w:rPr/>
            </w:pPr>
            <w:r>
              <w:rPr/>
              <w:t> </w:t>
            </w:r>
          </w:p>
        </w:tc>
        <w:tc>
          <w:tcPr>
            <w:tcW w:w="1317" w:type="dxa"/>
            <w:tcBorders>
              <w:bottom w:val="single" w:sz="12" w:space="0" w:color="000000"/>
            </w:tcBorders>
            <w:shd w:fill="FFFFFF" w:val="clear"/>
            <w:vAlign w:val="center"/>
          </w:tcPr>
          <w:p>
            <w:pPr>
              <w:pStyle w:val="TableContents"/>
              <w:bidi w:val="0"/>
              <w:spacing w:before="0" w:after="283"/>
              <w:jc w:val="right"/>
              <w:rPr/>
            </w:pPr>
            <w:r>
              <w:rPr/>
              <w:t>73,762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140,175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103,980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90"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234,837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bottom w:val="single" w:sz="12" w:space="0" w:color="000000"/>
            </w:tcBorders>
            <w:shd w:fill="CCEEFF" w:val="clear"/>
            <w:vAlign w:val="center"/>
          </w:tcPr>
          <w:p>
            <w:pPr>
              <w:pStyle w:val="TableContents"/>
              <w:bidi w:val="0"/>
              <w:spacing w:before="0" w:after="283"/>
              <w:jc w:val="left"/>
              <w:rPr/>
            </w:pPr>
            <w:r>
              <w:rPr/>
              <w:t> </w:t>
            </w:r>
          </w:p>
        </w:tc>
        <w:tc>
          <w:tcPr>
            <w:tcW w:w="1317" w:type="dxa"/>
            <w:tcBorders>
              <w:bottom w:val="single" w:sz="12" w:space="0" w:color="000000"/>
            </w:tcBorders>
            <w:shd w:fill="CCEEFF" w:val="clear"/>
            <w:vAlign w:val="center"/>
          </w:tcPr>
          <w:p>
            <w:pPr>
              <w:pStyle w:val="TableContents"/>
              <w:bidi w:val="0"/>
              <w:spacing w:before="0" w:after="283"/>
              <w:jc w:val="right"/>
              <w:rPr>
                <w:b/>
              </w:rPr>
            </w:pPr>
            <w:r>
              <w:rPr>
                <w:b/>
              </w:rPr>
              <w:t>187,824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454" w:type="dxa"/>
        <w:jc w:val="left"/>
        <w:tblInd w:w="0" w:type="dxa"/>
        <w:tblLayout w:type="fixed"/>
        <w:tblCellMar>
          <w:top w:w="0" w:type="dxa"/>
          <w:left w:w="0" w:type="dxa"/>
          <w:bottom w:w="28" w:type="dxa"/>
          <w:right w:w="0" w:type="dxa"/>
        </w:tblCellMar>
      </w:tblPr>
      <w:tblGrid>
        <w:gridCol w:w="4100"/>
        <w:gridCol w:w="60"/>
        <w:gridCol w:w="560"/>
        <w:gridCol w:w="60"/>
        <w:gridCol w:w="60"/>
        <w:gridCol w:w="875"/>
        <w:gridCol w:w="95"/>
        <w:gridCol w:w="60"/>
        <w:gridCol w:w="102"/>
        <w:gridCol w:w="1372"/>
        <w:gridCol w:w="110"/>
      </w:tblGrid>
      <w:tr>
        <w:trPr/>
        <w:tc>
          <w:tcPr>
            <w:tcW w:w="41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i/>
              </w:rPr>
            </w:pPr>
            <w:r>
              <w:rPr>
                <w:i/>
              </w:rPr>
              <w:t>Notes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715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70,158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Accumulated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(124,889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(32,533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pPr>
            <w:r>
              <w:rPr/>
              <w:t>Other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95,196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49,601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(92,355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7,796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7,640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9,359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9,627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Employee benefit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15,161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11,051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Deferred tax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366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10,023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pPr>
            <w:r>
              <w:rPr/>
              <w:t>9,484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b/>
              </w:rPr>
            </w:pPr>
            <w:r>
              <w:rPr>
                <w:b/>
              </w:rPr>
              <w:t>42,719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b/>
              </w:rPr>
            </w:pPr>
            <w:r>
              <w:rPr>
                <w:b/>
              </w:rPr>
              <w:t>38,168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2,854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105,164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520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524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Provisions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356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13,911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9,556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28,237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pPr>
            <w:r>
              <w:rPr/>
              <w:t>Deferred income from government grants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6,931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7,409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10,237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372" w:type="dxa"/>
            <w:tcBorders>
              <w:bottom w:val="single" w:sz="12" w:space="0" w:color="000000"/>
            </w:tcBorders>
            <w:shd w:fill="CCEEFF" w:val="clear"/>
            <w:vAlign w:val="center"/>
          </w:tcPr>
          <w:p>
            <w:pPr>
              <w:pStyle w:val="TableContents"/>
              <w:bidi w:val="0"/>
              <w:spacing w:before="0" w:after="283"/>
              <w:jc w:val="right"/>
              <w:rPr/>
            </w:pPr>
            <w:r>
              <w:rPr/>
              <w:t>8,084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63,048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154,070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00" w:type="dxa"/>
            <w:tcBorders/>
            <w:shd w:fill="FFFFFF" w:val="clear"/>
            <w:tcMar>
              <w:bottom w:w="0" w:type="dxa"/>
            </w:tcMar>
            <w:vAlign w:val="center"/>
          </w:tcPr>
          <w:p>
            <w:pPr>
              <w:pStyle w:val="TableContents"/>
              <w:bidi w:val="0"/>
              <w:spacing w:before="0" w:after="283"/>
              <w:jc w:val="left"/>
              <w:rPr>
                <w:b/>
              </w:rPr>
            </w:pPr>
            <w:r>
              <w:rPr>
                <w:b/>
              </w:rPr>
              <w:t>Total shareholder’s equity and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b/>
              </w:rPr>
            </w:pPr>
            <w:r>
              <w:rPr>
                <w:b/>
              </w:rPr>
              <w:t>234,837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372" w:type="dxa"/>
            <w:tcBorders>
              <w:bottom w:val="single" w:sz="12" w:space="0" w:color="000000"/>
            </w:tcBorders>
            <w:shd w:fill="FFFFFF" w:val="clear"/>
            <w:vAlign w:val="center"/>
          </w:tcPr>
          <w:p>
            <w:pPr>
              <w:pStyle w:val="TableContents"/>
              <w:bidi w:val="0"/>
              <w:spacing w:before="0" w:after="283"/>
              <w:jc w:val="right"/>
              <w:rPr>
                <w:b/>
              </w:rPr>
            </w:pPr>
            <w:r>
              <w:rPr>
                <w:b/>
              </w:rPr>
              <w:t>187,824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 w:name="a_002"/>
      <w:bookmarkEnd w:id="8"/>
      <w:r>
        <w:rPr>
          <w:rFonts w:ascii="Times New Roman;Times;Serif" w:hAnsi="Times New Roman;Times;Serif"/>
          <w:b w:val="false"/>
          <w:i w:val="false"/>
          <w:caps w:val="false"/>
          <w:smallCaps w:val="false"/>
          <w:sz w:val="20"/>
        </w:rPr>
        <w:t>CONDENSED CONSOLIDATED STATEMENTS OF PROFIT OR LOSS AND OTHER COMPREHENSIVE INCOME (UNAUDITED)</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0"/>
        <w:gridCol w:w="60"/>
        <w:gridCol w:w="560"/>
        <w:gridCol w:w="60"/>
        <w:gridCol w:w="60"/>
        <w:gridCol w:w="79"/>
        <w:gridCol w:w="1005"/>
        <w:gridCol w:w="126"/>
        <w:gridCol w:w="79"/>
        <w:gridCol w:w="79"/>
        <w:gridCol w:w="1005"/>
        <w:gridCol w:w="112"/>
      </w:tblGrid>
      <w:tr>
        <w:trPr/>
        <w:tc>
          <w:tcPr>
            <w:tcW w:w="6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2" w:type="dxa"/>
            <w:tcBorders/>
            <w:vAlign w:val="center"/>
          </w:tcPr>
          <w:p>
            <w:pPr>
              <w:pStyle w:val="TableContents"/>
              <w:bidi w:val="0"/>
              <w:spacing w:before="0" w:after="283"/>
              <w:jc w:val="left"/>
              <w:rPr/>
            </w:pPr>
            <w:r>
              <w:rPr/>
              <w:t> </w:t>
            </w:r>
          </w:p>
        </w:tc>
      </w:tr>
      <w:tr>
        <w:trPr/>
        <w:tc>
          <w:tcPr>
            <w:tcW w:w="698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2"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4,872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4,286</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Government grant income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2,950</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3,544</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1,275</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Purchases of material</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(2,569</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(2,692</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Changes in inventory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1,372</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1,825</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Employee salaries and benefit expenses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(41,594</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(15,353</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Professional services and other services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(19,553</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(8,261</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(4,302</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(4,396</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(59,161</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(19,773</w:t>
            </w:r>
          </w:p>
        </w:tc>
        <w:tc>
          <w:tcPr>
            <w:tcW w:w="112" w:type="dxa"/>
            <w:tcBorders/>
            <w:shd w:fill="FFFFFF" w:val="clear"/>
            <w:vAlign w:val="center"/>
          </w:tcPr>
          <w:p>
            <w:pPr>
              <w:pStyle w:val="TableContents"/>
              <w:bidi w:val="0"/>
              <w:spacing w:before="0" w:after="283"/>
              <w:jc w:val="left"/>
              <w:rPr>
                <w:b/>
              </w:rPr>
            </w:pPr>
            <w:r>
              <w:rPr>
                <w:b/>
              </w:rPr>
              <w:t>)</w:t>
            </w:r>
          </w:p>
        </w:tc>
      </w:tr>
      <w:tr>
        <w:trPr/>
        <w:tc>
          <w:tcPr>
            <w:tcW w:w="6980" w:type="dxa"/>
            <w:tcBorders/>
            <w:shd w:fill="CCEEFF" w:val="clear"/>
            <w:vAlign w:val="center"/>
          </w:tcPr>
          <w:p>
            <w:pPr>
              <w:pStyle w:val="TableContents"/>
              <w:bidi w:val="0"/>
              <w:spacing w:before="0" w:after="283"/>
              <w:jc w:val="left"/>
              <w:rPr/>
            </w:pPr>
            <w:r>
              <w:rPr/>
              <w:t>Change in fair value of financial liabilities at FVTPL</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7,048</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(3,033</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1,414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1,101</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(1,996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(1,838</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Other financial expense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(521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(2,608</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(53,216</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(26,150</w:t>
            </w:r>
          </w:p>
        </w:tc>
        <w:tc>
          <w:tcPr>
            <w:tcW w:w="112" w:type="dxa"/>
            <w:tcBorders/>
            <w:shd w:fill="CCEEFF" w:val="clear"/>
            <w:vAlign w:val="center"/>
          </w:tcPr>
          <w:p>
            <w:pPr>
              <w:pStyle w:val="TableContents"/>
              <w:bidi w:val="0"/>
              <w:spacing w:before="0" w:after="283"/>
              <w:jc w:val="left"/>
              <w:rPr>
                <w:b/>
              </w:rPr>
            </w:pPr>
            <w:r>
              <w:rPr>
                <w:b/>
              </w:rPr>
              <w:t>)</w:t>
            </w:r>
          </w:p>
        </w:tc>
      </w:tr>
      <w:tr>
        <w:trPr/>
        <w:tc>
          <w:tcPr>
            <w:tcW w:w="6980" w:type="dxa"/>
            <w:tcBorders/>
            <w:shd w:fill="FFFFFF" w:val="clear"/>
            <w:vAlign w:val="center"/>
          </w:tcPr>
          <w:p>
            <w:pPr>
              <w:pStyle w:val="TableContents"/>
              <w:bidi w:val="0"/>
              <w:spacing w:before="0" w:after="283"/>
              <w:jc w:val="left"/>
              <w:rPr/>
            </w:pPr>
            <w:r>
              <w:rPr/>
              <w:t>Income (expense) tax benefit</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(20</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31</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b/>
              </w:rPr>
            </w:pPr>
            <w:r>
              <w:rPr>
                <w:b/>
              </w:rPr>
              <w:t>Loss for the period</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(53,236</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(26,118</w:t>
            </w:r>
          </w:p>
        </w:tc>
        <w:tc>
          <w:tcPr>
            <w:tcW w:w="112" w:type="dxa"/>
            <w:tcBorders/>
            <w:shd w:fill="CCEEFF" w:val="clear"/>
            <w:vAlign w:val="center"/>
          </w:tcPr>
          <w:p>
            <w:pPr>
              <w:pStyle w:val="TableContents"/>
              <w:bidi w:val="0"/>
              <w:spacing w:before="0" w:after="283"/>
              <w:jc w:val="left"/>
              <w:rPr>
                <w:b/>
              </w:rPr>
            </w:pPr>
            <w:r>
              <w:rPr>
                <w:b/>
              </w:rPr>
              <w:t>)</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bottom w:val="single" w:sz="12" w:space="0" w:color="000000"/>
            </w:tcBorders>
            <w:tcMar>
              <w:bottom w:w="28" w:type="dxa"/>
            </w:tcMar>
            <w:vAlign w:val="center"/>
          </w:tcPr>
          <w:p>
            <w:pPr>
              <w:pStyle w:val="TableContents"/>
              <w:bidi w:val="0"/>
              <w:spacing w:before="0" w:after="283"/>
              <w:jc w:val="left"/>
              <w:rPr>
                <w:b/>
              </w:rPr>
            </w:pPr>
            <w:r>
              <w:rPr>
                <w:b/>
              </w:rPr>
              <w:t>Other comprehensive loss</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June 30,</w:t>
              <w:br/>
              <w:t>2026</w:t>
            </w:r>
          </w:p>
        </w:tc>
        <w:tc>
          <w:tcPr>
            <w:tcW w:w="12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June 30,</w:t>
              <w:br/>
              <w:t>2025</w:t>
            </w:r>
          </w:p>
        </w:tc>
        <w:tc>
          <w:tcPr>
            <w:tcW w:w="112" w:type="dxa"/>
            <w:tcBorders/>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b/>
                <w:i/>
              </w:rPr>
            </w:pPr>
            <w:r>
              <w:rPr>
                <w:b/>
                <w:i/>
              </w:rPr>
              <w:t>Items that may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b/>
              </w:rPr>
            </w:pPr>
            <w:r>
              <w:rPr>
                <w:b/>
              </w:rPr>
              <w:t>(311</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b/>
              </w:rPr>
            </w:pPr>
            <w:r>
              <w:rPr>
                <w:b/>
              </w:rPr>
              <w:t>10</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(311</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200"/>
              <w:jc w:val="left"/>
              <w:rPr/>
            </w:pPr>
            <w:r>
              <w:rPr/>
              <w:t> </w:t>
            </w:r>
          </w:p>
        </w:tc>
      </w:tr>
      <w:tr>
        <w:trPr/>
        <w:tc>
          <w:tcPr>
            <w:tcW w:w="6980" w:type="dxa"/>
            <w:tcBorders/>
            <w:shd w:fill="FFFFFF" w:val="clear"/>
            <w:vAlign w:val="center"/>
          </w:tcPr>
          <w:p>
            <w:pPr>
              <w:pStyle w:val="TableContents"/>
              <w:bidi w:val="0"/>
              <w:spacing w:before="0" w:after="283"/>
              <w:jc w:val="left"/>
              <w:rPr>
                <w:b/>
                <w:i/>
              </w:rPr>
            </w:pPr>
            <w:r>
              <w:rPr>
                <w:b/>
                <w:i/>
              </w:rPr>
              <w:t>Items that will not be reclassified to profit or loss / income in subsequent periods</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b/>
              </w:rPr>
            </w:pPr>
            <w:r>
              <w:rPr>
                <w:b/>
              </w:rPr>
              <w:t>(11</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b/>
              </w:rPr>
            </w:pPr>
            <w:r>
              <w:rPr>
                <w:b/>
              </w:rPr>
              <w:t>14</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Remeasurement of defined benefit plans</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(14</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19</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Income tax impact</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2" w:type="dxa"/>
            <w:tcBorders/>
            <w:shd w:fill="FFFFFF" w:val="clear"/>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b/>
              </w:rPr>
            </w:pPr>
            <w:r>
              <w:rPr>
                <w:b/>
              </w:rPr>
              <w:t>Other comprehensive (loss) / income for the period, net of tax</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w:t>
            </w:r>
          </w:p>
        </w:tc>
        <w:tc>
          <w:tcPr>
            <w:tcW w:w="126" w:type="dxa"/>
            <w:tcBorders/>
            <w:shd w:fill="CCEEFF" w:val="clear"/>
            <w:vAlign w:val="center"/>
          </w:tcPr>
          <w:p>
            <w:pPr>
              <w:pStyle w:val="TableContents"/>
              <w:bidi w:val="0"/>
              <w:spacing w:before="0" w:after="283"/>
              <w:jc w:val="left"/>
              <w:rPr>
                <w:b/>
              </w:rPr>
            </w:pPr>
            <w:r>
              <w:rPr>
                <w:b/>
              </w:rPr>
              <w:t>)</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(53,558</w:t>
            </w:r>
          </w:p>
        </w:tc>
        <w:tc>
          <w:tcPr>
            <w:tcW w:w="126" w:type="dxa"/>
            <w:tcBorders/>
            <w:shd w:fill="FFFFFF" w:val="clear"/>
            <w:vAlign w:val="center"/>
          </w:tcPr>
          <w:p>
            <w:pPr>
              <w:pStyle w:val="TableContents"/>
              <w:bidi w:val="0"/>
              <w:spacing w:before="0" w:after="283"/>
              <w:jc w:val="left"/>
              <w:rPr>
                <w:b/>
              </w:rPr>
            </w:pPr>
            <w:r>
              <w:rPr>
                <w:b/>
              </w:rPr>
              <w:t>)</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(26,094</w:t>
            </w:r>
          </w:p>
        </w:tc>
        <w:tc>
          <w:tcPr>
            <w:tcW w:w="112" w:type="dxa"/>
            <w:tcBorders/>
            <w:shd w:fill="FFFFFF" w:val="clear"/>
            <w:vAlign w:val="center"/>
          </w:tcPr>
          <w:p>
            <w:pPr>
              <w:pStyle w:val="TableContents"/>
              <w:bidi w:val="0"/>
              <w:spacing w:before="0" w:after="283"/>
              <w:jc w:val="left"/>
              <w:rPr>
                <w:b/>
              </w:rPr>
            </w:pPr>
            <w:r>
              <w:rPr>
                <w:b/>
              </w:rPr>
              <w:t>)</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b/>
              </w:rPr>
            </w:pPr>
            <w:r>
              <w:rPr>
                <w:b/>
              </w:rPr>
              <w:t>Loss per share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Basic losses per share</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(6.6</w:t>
            </w:r>
          </w:p>
        </w:tc>
        <w:tc>
          <w:tcPr>
            <w:tcW w:w="126"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w:t>
            </w:r>
          </w:p>
        </w:tc>
      </w:tr>
      <w:tr>
        <w:trPr/>
        <w:tc>
          <w:tcPr>
            <w:tcW w:w="6980" w:type="dxa"/>
            <w:tcBorders/>
            <w:shd w:fill="FFFFFF" w:val="clear"/>
            <w:vAlign w:val="center"/>
          </w:tcPr>
          <w:p>
            <w:pPr>
              <w:pStyle w:val="TableContents"/>
              <w:bidi w:val="0"/>
              <w:spacing w:before="0" w:after="283"/>
              <w:jc w:val="left"/>
              <w:rPr/>
            </w:pPr>
            <w:r>
              <w:rPr/>
              <w:t>Diluted losses per share</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(7.3</w:t>
            </w:r>
          </w:p>
        </w:tc>
        <w:tc>
          <w:tcPr>
            <w:tcW w:w="126"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(3.8</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357"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 w:name="a_003"/>
      <w:bookmarkEnd w:id="9"/>
      <w:r>
        <w:rPr>
          <w:rFonts w:ascii="Times New Roman;Times;Serif" w:hAnsi="Times New Roman;Times;Serif"/>
          <w:b w:val="false"/>
          <w:i w:val="false"/>
          <w:caps w:val="false"/>
          <w:smallCaps w:val="false"/>
          <w:sz w:val="20"/>
        </w:rPr>
        <w:t>CONDENSED CONSOLIDATED STATEMENTS OF CHANGES IN EQUITY (UNAUDITED)</w:t>
      </w:r>
    </w:p>
    <w:p>
      <w:pPr>
        <w:pStyle w:val="TextBody"/>
        <w:bidi w:val="0"/>
        <w:spacing w:before="0" w:after="0"/>
        <w:ind w:left="0" w:right="0" w:hanging="0"/>
        <w:jc w:val="left"/>
        <w:rPr>
          <w:caps w:val="false"/>
          <w:smallCaps w:val="false"/>
        </w:rPr>
      </w:pPr>
      <w:r>
        <w:rPr>
          <w:caps w:val="false"/>
          <w:smallCaps w:val="false"/>
        </w:rPr>
        <w:t> </w:t>
      </w:r>
    </w:p>
    <w:tbl>
      <w:tblPr>
        <w:tblW w:w="11775" w:type="dxa"/>
        <w:jc w:val="left"/>
        <w:tblInd w:w="0" w:type="dxa"/>
        <w:tblLayout w:type="fixed"/>
        <w:tblCellMar>
          <w:top w:w="0" w:type="dxa"/>
          <w:left w:w="0" w:type="dxa"/>
          <w:bottom w:w="28" w:type="dxa"/>
          <w:right w:w="0" w:type="dxa"/>
        </w:tblCellMar>
      </w:tblPr>
      <w:tblGrid>
        <w:gridCol w:w="1550"/>
        <w:gridCol w:w="60"/>
        <w:gridCol w:w="94"/>
        <w:gridCol w:w="601"/>
        <w:gridCol w:w="60"/>
        <w:gridCol w:w="60"/>
        <w:gridCol w:w="66"/>
        <w:gridCol w:w="884"/>
        <w:gridCol w:w="95"/>
        <w:gridCol w:w="60"/>
        <w:gridCol w:w="100"/>
        <w:gridCol w:w="865"/>
        <w:gridCol w:w="60"/>
        <w:gridCol w:w="60"/>
        <w:gridCol w:w="87"/>
        <w:gridCol w:w="1283"/>
        <w:gridCol w:w="95"/>
        <w:gridCol w:w="60"/>
        <w:gridCol w:w="68"/>
        <w:gridCol w:w="777"/>
        <w:gridCol w:w="95"/>
        <w:gridCol w:w="60"/>
        <w:gridCol w:w="178"/>
        <w:gridCol w:w="1357"/>
        <w:gridCol w:w="95"/>
        <w:gridCol w:w="60"/>
        <w:gridCol w:w="60"/>
        <w:gridCol w:w="755"/>
        <w:gridCol w:w="95"/>
        <w:gridCol w:w="60"/>
        <w:gridCol w:w="96"/>
        <w:gridCol w:w="824"/>
        <w:gridCol w:w="60"/>
        <w:gridCol w:w="60"/>
        <w:gridCol w:w="60"/>
        <w:gridCol w:w="800"/>
        <w:gridCol w:w="75"/>
      </w:tblGrid>
      <w:tr>
        <w:trPr/>
        <w:tc>
          <w:tcPr>
            <w:tcW w:w="1550"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Share</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12" w:space="0" w:color="000000"/>
            </w:tcBorders>
            <w:vAlign w:val="center"/>
          </w:tcPr>
          <w:p>
            <w:pPr>
              <w:pStyle w:val="TableContents"/>
              <w:bidi w:val="0"/>
              <w:spacing w:before="0" w:after="283"/>
              <w:jc w:val="center"/>
              <w:rPr>
                <w:b/>
              </w:rPr>
            </w:pPr>
            <w:r>
              <w:rPr>
                <w:b/>
              </w:rPr>
              <w:t xml:space="preserve">Share </w:t>
              <w:br/>
              <w:t>premium</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xml:space="preserve">Treasury </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 xml:space="preserve">Accumulated </w:t>
              <w:br/>
              <w:t>deficit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12" w:space="0" w:color="000000"/>
            </w:tcBorders>
            <w:vAlign w:val="center"/>
          </w:tcPr>
          <w:p>
            <w:pPr>
              <w:pStyle w:val="TableContents"/>
              <w:bidi w:val="0"/>
              <w:spacing w:before="0" w:after="283"/>
              <w:jc w:val="center"/>
              <w:rPr>
                <w:b/>
              </w:rPr>
            </w:pPr>
            <w:r>
              <w:rPr>
                <w:b/>
              </w:rPr>
              <w:t xml:space="preserve">Other </w:t>
              <w:br/>
              <w:t>reserves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12" w:space="0" w:color="000000"/>
            </w:tcBorders>
            <w:vAlign w:val="center"/>
          </w:tcPr>
          <w:p>
            <w:pPr>
              <w:pStyle w:val="TableContents"/>
              <w:bidi w:val="0"/>
              <w:spacing w:before="0" w:after="283"/>
              <w:jc w:val="center"/>
              <w:rPr>
                <w:b/>
              </w:rPr>
            </w:pPr>
            <w:r>
              <w:rPr>
                <w:b/>
              </w:rPr>
              <w:t xml:space="preserve">Other </w:t>
              <w:br/>
              <w:t xml:space="preserve">comprehensive </w:t>
              <w:br/>
              <w:t>income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 xml:space="preserve">Loss of </w:t>
              <w:br/>
              <w:t xml:space="preserve">the </w:t>
              <w:br/>
              <w:t>period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Minority </w:t>
              <w:br/>
              <w:t>interests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 xml:space="preserve">Total </w:t>
              <w:br/>
              <w:t>equity</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1700" w:type="dxa"/>
            <w:gridSpan w:val="36"/>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Balance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131,114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(75,811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25,269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(94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(48,498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32,673</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Allocation of profit /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(48,498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48,498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(26,118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(26,118</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Variation in translation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Remeasurement of defined benefit plans,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pPr>
            <w:r>
              <w:rPr/>
              <w:t>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(26,118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(26,094</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pPr>
            <w:r>
              <w:rPr/>
              <w:t>Equity-settled share-based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559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559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Other variations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(91,776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91,776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(391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(391</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(91,776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91,776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168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168</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39,339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(32,533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25,438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(70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(26,118</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6,747</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715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70,158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(32,533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49,584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(92,355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(4,415</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Allocation of profit /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(92,355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92,355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(53,236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(53,236</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pPr>
            <w:r>
              <w:rPr/>
              <w:t>Variation in translation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(311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(311</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Remeasurement of defined benefit plans,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(11</w:t>
            </w:r>
          </w:p>
        </w:tc>
        <w:tc>
          <w:tcPr>
            <w:tcW w:w="75"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(322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(53,236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(53,558</w:t>
            </w:r>
          </w:p>
        </w:tc>
        <w:tc>
          <w:tcPr>
            <w:tcW w:w="75"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1550" w:type="dxa"/>
            <w:tcBorders/>
            <w:shd w:fill="FFFFFF" w:val="clear"/>
            <w:tcMar>
              <w:bottom w:w="0" w:type="dxa"/>
            </w:tcMar>
            <w:vAlign w:val="center"/>
          </w:tcPr>
          <w:p>
            <w:pPr>
              <w:pStyle w:val="TableContents"/>
              <w:bidi w:val="0"/>
              <w:spacing w:before="0" w:after="283"/>
              <w:jc w:val="left"/>
              <w:rPr/>
            </w:pPr>
            <w:r>
              <w:rPr/>
              <w:t>Issue of share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153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right"/>
              <w:rPr/>
            </w:pPr>
            <w:r>
              <w:rPr/>
              <w:t>140,973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86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pPr>
            <w:r>
              <w:rPr/>
              <w:t>22,583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163,709</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Equity-settled share-based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86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23,334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b/>
              </w:rPr>
            </w:pPr>
            <w:r>
              <w:rPr>
                <w:b/>
              </w:rPr>
              <w:t>23,334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pPr>
            <w:r>
              <w:rPr/>
              <w:t>Other variations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601" w:type="dxa"/>
            <w:tcBorders>
              <w:bottom w:val="single" w:sz="12" w:space="0" w:color="000000"/>
            </w:tcBorders>
            <w:shd w:fill="CCEEFF" w:val="clear"/>
            <w:vAlign w:val="center"/>
          </w:tcPr>
          <w:p>
            <w:pPr>
              <w:pStyle w:val="TableContents"/>
              <w:bidi w:val="0"/>
              <w:spacing w:before="0" w:after="283"/>
              <w:jc w:val="right"/>
              <w:rPr>
                <w:b/>
              </w:rPr>
            </w:pPr>
            <w:r>
              <w:rPr>
                <w:b/>
              </w:rPr>
              <w:t>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CCEEFF" w:val="clear"/>
            <w:vAlign w:val="center"/>
          </w:tcPr>
          <w:p>
            <w:pPr>
              <w:pStyle w:val="TableContents"/>
              <w:bidi w:val="0"/>
              <w:spacing w:before="0" w:after="283"/>
              <w:jc w:val="left"/>
              <w:rPr/>
            </w:pPr>
            <w:r>
              <w:rPr/>
              <w:t> </w:t>
            </w:r>
          </w:p>
        </w:tc>
        <w:tc>
          <w:tcPr>
            <w:tcW w:w="884" w:type="dxa"/>
            <w:tcBorders>
              <w:bottom w:val="single" w:sz="12" w:space="0" w:color="000000"/>
            </w:tcBorders>
            <w:shd w:fill="CCEEFF" w:val="clear"/>
            <w:vAlign w:val="center"/>
          </w:tcPr>
          <w:p>
            <w:pPr>
              <w:pStyle w:val="TableContents"/>
              <w:bidi w:val="0"/>
              <w:spacing w:before="0" w:after="283"/>
              <w:jc w:val="right"/>
              <w:rPr>
                <w:b/>
              </w:rPr>
            </w:pPr>
            <w:r>
              <w:rPr>
                <w:b/>
              </w:rPr>
              <w:t>140,973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CCEEFF" w:val="clear"/>
            <w:vAlign w:val="center"/>
          </w:tcPr>
          <w:p>
            <w:pPr>
              <w:pStyle w:val="TableContents"/>
              <w:bidi w:val="0"/>
              <w:spacing w:before="0" w:after="283"/>
              <w:jc w:val="left"/>
              <w:rPr/>
            </w:pPr>
            <w:r>
              <w:rPr/>
              <w:t> </w:t>
            </w:r>
          </w:p>
        </w:tc>
        <w:tc>
          <w:tcPr>
            <w:tcW w:w="86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28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777" w:type="dxa"/>
            <w:tcBorders>
              <w:bottom w:val="single" w:sz="12" w:space="0" w:color="000000"/>
            </w:tcBorders>
            <w:shd w:fill="CCEEFF" w:val="clear"/>
            <w:vAlign w:val="center"/>
          </w:tcPr>
          <w:p>
            <w:pPr>
              <w:pStyle w:val="TableContents"/>
              <w:bidi w:val="0"/>
              <w:spacing w:before="0" w:after="283"/>
              <w:jc w:val="right"/>
              <w:rPr>
                <w:b/>
              </w:rPr>
            </w:pPr>
            <w:r>
              <w:rPr>
                <w:b/>
              </w:rPr>
              <w:t>45,916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CCEEFF" w:val="clear"/>
            <w:vAlign w:val="center"/>
          </w:tcPr>
          <w:p>
            <w:pPr>
              <w:pStyle w:val="TableContents"/>
              <w:bidi w:val="0"/>
              <w:spacing w:before="0" w:after="283"/>
              <w:jc w:val="left"/>
              <w:rPr/>
            </w:pPr>
            <w:r>
              <w:rPr/>
              <w:t> </w:t>
            </w:r>
          </w:p>
        </w:tc>
        <w:tc>
          <w:tcPr>
            <w:tcW w:w="135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824"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187,043</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50" w:type="dxa"/>
            <w:tcBorders/>
            <w:shd w:fill="FFFFFF" w:val="clear"/>
            <w:tcMar>
              <w:bottom w:w="0" w:type="dxa"/>
            </w:tcMar>
            <w:vAlign w:val="center"/>
          </w:tcPr>
          <w:p>
            <w:pPr>
              <w:pStyle w:val="TableContents"/>
              <w:bidi w:val="0"/>
              <w:spacing w:before="0" w:after="283"/>
              <w:jc w:val="left"/>
              <w:rPr>
                <w:b/>
              </w:rPr>
            </w:pPr>
            <w:r>
              <w:rPr>
                <w:b/>
              </w:rPr>
              <w:t>Balance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601" w:type="dxa"/>
            <w:tcBorders>
              <w:bottom w:val="single" w:sz="12" w:space="0" w:color="000000"/>
            </w:tcBorders>
            <w:shd w:fill="FFFFFF" w:val="clear"/>
            <w:vAlign w:val="center"/>
          </w:tcPr>
          <w:p>
            <w:pPr>
              <w:pStyle w:val="TableContents"/>
              <w:bidi w:val="0"/>
              <w:spacing w:before="0" w:after="283"/>
              <w:jc w:val="right"/>
              <w:rPr>
                <w:b/>
              </w:rPr>
            </w:pPr>
            <w:r>
              <w:rPr>
                <w:b/>
              </w:rPr>
              <w:t>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884" w:type="dxa"/>
            <w:tcBorders>
              <w:bottom w:val="single" w:sz="12" w:space="0" w:color="000000"/>
            </w:tcBorders>
            <w:shd w:fill="FFFFFF" w:val="clear"/>
            <w:vAlign w:val="center"/>
          </w:tcPr>
          <w:p>
            <w:pPr>
              <w:pStyle w:val="TableContents"/>
              <w:bidi w:val="0"/>
              <w:spacing w:before="0" w:after="283"/>
              <w:jc w:val="right"/>
              <w:rPr>
                <w:b/>
              </w:rPr>
            </w:pPr>
            <w:r>
              <w:rPr>
                <w:b/>
              </w:rPr>
              <w:t>211,131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865"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283" w:type="dxa"/>
            <w:tcBorders>
              <w:bottom w:val="single" w:sz="12" w:space="0" w:color="000000"/>
            </w:tcBorders>
            <w:shd w:fill="FFFFFF" w:val="clear"/>
            <w:vAlign w:val="center"/>
          </w:tcPr>
          <w:p>
            <w:pPr>
              <w:pStyle w:val="TableContents"/>
              <w:bidi w:val="0"/>
              <w:spacing w:before="0" w:after="283"/>
              <w:jc w:val="right"/>
              <w:rPr>
                <w:b/>
              </w:rPr>
            </w:pPr>
            <w:r>
              <w:rPr>
                <w:b/>
              </w:rPr>
              <w:t>(124,889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b/>
              </w:rPr>
            </w:pPr>
            <w:r>
              <w:rPr>
                <w:b/>
              </w:rPr>
              <w:t>95,500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single" w:sz="12" w:space="0" w:color="000000"/>
            </w:tcBorders>
            <w:shd w:fill="FFFFFF" w:val="clear"/>
            <w:vAlign w:val="center"/>
          </w:tcPr>
          <w:p>
            <w:pPr>
              <w:pStyle w:val="TableContents"/>
              <w:bidi w:val="0"/>
              <w:spacing w:before="0" w:after="283"/>
              <w:jc w:val="left"/>
              <w:rPr/>
            </w:pPr>
            <w:r>
              <w:rPr/>
              <w:t> </w:t>
            </w:r>
          </w:p>
        </w:tc>
        <w:tc>
          <w:tcPr>
            <w:tcW w:w="1357" w:type="dxa"/>
            <w:tcBorders>
              <w:bottom w:val="single" w:sz="12" w:space="0" w:color="000000"/>
            </w:tcBorders>
            <w:shd w:fill="FFFFFF" w:val="clear"/>
            <w:vAlign w:val="center"/>
          </w:tcPr>
          <w:p>
            <w:pPr>
              <w:pStyle w:val="TableContents"/>
              <w:bidi w:val="0"/>
              <w:spacing w:before="0" w:after="283"/>
              <w:jc w:val="right"/>
              <w:rPr>
                <w:b/>
              </w:rPr>
            </w:pPr>
            <w:r>
              <w:rPr>
                <w:b/>
              </w:rPr>
              <w:t>(305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b/>
              </w:rPr>
            </w:pPr>
            <w:r>
              <w:rPr>
                <w:b/>
              </w:rPr>
              <w:t>(53,236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b/>
              </w:rPr>
            </w:pPr>
            <w:r>
              <w:rPr>
                <w:b/>
              </w:rPr>
              <w:t>129,070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 w:name="a_004"/>
      <w:bookmarkEnd w:id="10"/>
      <w:r>
        <w:rPr>
          <w:rFonts w:ascii="Times New Roman;Times;Serif" w:hAnsi="Times New Roman;Times;Serif"/>
          <w:b w:val="false"/>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6830"/>
        <w:gridCol w:w="60"/>
        <w:gridCol w:w="88"/>
        <w:gridCol w:w="472"/>
        <w:gridCol w:w="60"/>
        <w:gridCol w:w="60"/>
        <w:gridCol w:w="80"/>
        <w:gridCol w:w="1077"/>
        <w:gridCol w:w="127"/>
        <w:gridCol w:w="80"/>
        <w:gridCol w:w="80"/>
        <w:gridCol w:w="1016"/>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Six-month period ended</w:t>
            </w:r>
          </w:p>
        </w:tc>
        <w:tc>
          <w:tcPr>
            <w:tcW w:w="110" w:type="dxa"/>
            <w:tcBorders/>
            <w:vAlign w:val="center"/>
          </w:tcPr>
          <w:p>
            <w:pPr>
              <w:pStyle w:val="TableContents"/>
              <w:bidi w:val="0"/>
              <w:spacing w:before="0" w:after="283"/>
              <w:jc w:val="left"/>
              <w:rPr/>
            </w:pPr>
            <w:r>
              <w:rPr/>
              <w:t> </w:t>
            </w:r>
          </w:p>
        </w:tc>
      </w:tr>
      <w:tr>
        <w:trPr/>
        <w:tc>
          <w:tcPr>
            <w:tcW w:w="683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i/>
              </w:rPr>
            </w:pPr>
            <w:r>
              <w:rPr>
                <w:i/>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 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pPr>
            <w:r>
              <w:rPr/>
              <w:t> </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OPERATING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used in operations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(25,194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(19,956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(25,194</w:t>
            </w:r>
          </w:p>
        </w:tc>
        <w:tc>
          <w:tcPr>
            <w:tcW w:w="127" w:type="dxa"/>
            <w:tcBorders/>
            <w:shd w:fill="FFFFFF" w:val="clear"/>
            <w:vAlign w:val="center"/>
          </w:tcPr>
          <w:p>
            <w:pPr>
              <w:pStyle w:val="TableContents"/>
              <w:bidi w:val="0"/>
              <w:spacing w:before="0" w:after="283"/>
              <w:jc w:val="lef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(19,956</w:t>
            </w:r>
          </w:p>
        </w:tc>
        <w:tc>
          <w:tcPr>
            <w:tcW w:w="110" w:type="dxa"/>
            <w:tcBorders/>
            <w:shd w:fill="FFFFFF" w:val="clear"/>
            <w:vAlign w:val="center"/>
          </w:tcPr>
          <w:p>
            <w:pPr>
              <w:pStyle w:val="TableContents"/>
              <w:bidi w:val="0"/>
              <w:spacing w:before="0" w:after="283"/>
              <w:jc w:val="left"/>
              <w:rPr>
                <w:b/>
              </w:rPr>
            </w:pPr>
            <w:r>
              <w:rPr>
                <w:b/>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FLOW USED IN INVESTING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Acquisition of property, plant and equipment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(2,042</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(4,908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Acquisition of intangible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(2,423</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sale of intangible asset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112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Receipt of government grants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375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1,359</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 in deposits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(380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596</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Purchases of subsidiary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(157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Net 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(4,970</w:t>
            </w:r>
          </w:p>
        </w:tc>
        <w:tc>
          <w:tcPr>
            <w:tcW w:w="127" w:type="dxa"/>
            <w:tcBorders/>
            <w:shd w:fill="CCEEFF" w:val="clear"/>
            <w:vAlign w:val="center"/>
          </w:tcPr>
          <w:p>
            <w:pPr>
              <w:pStyle w:val="TableContents"/>
              <w:bidi w:val="0"/>
              <w:spacing w:before="0" w:after="283"/>
              <w:jc w:val="lef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(3,145</w:t>
            </w:r>
          </w:p>
        </w:tc>
        <w:tc>
          <w:tcPr>
            <w:tcW w:w="110" w:type="dxa"/>
            <w:tcBorders/>
            <w:shd w:fill="CCEEFF" w:val="clear"/>
            <w:vAlign w:val="center"/>
          </w:tcPr>
          <w:p>
            <w:pPr>
              <w:pStyle w:val="TableContents"/>
              <w:bidi w:val="0"/>
              <w:spacing w:before="0" w:after="283"/>
              <w:jc w:val="left"/>
              <w:rPr>
                <w:b/>
              </w:rPr>
            </w:pPr>
            <w:r>
              <w:rPr>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borrowings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83</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43,518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Repayment of borrowings and lease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(1,123</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(1,588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(188</w:t>
            </w:r>
          </w:p>
        </w:tc>
        <w:tc>
          <w:tcPr>
            <w:tcW w:w="127"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(407</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Proceeds from capital increases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68,480</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cash flows from financing activities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67,251</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41,523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37,087</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18,422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at the beginning of the six-month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b/>
              </w:rPr>
            </w:pPr>
            <w:r>
              <w:rPr>
                <w:b/>
              </w:rPr>
              <w:t>73,762</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b/>
              </w:rPr>
            </w:pPr>
            <w:r>
              <w:rPr>
                <w:b/>
              </w:rPr>
              <w:t>7,163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center"/>
              <w:rPr/>
            </w:pPr>
            <w:r>
              <w:rPr/>
              <w:t> </w:t>
            </w:r>
          </w:p>
        </w:tc>
        <w:tc>
          <w:tcPr>
            <w:tcW w:w="47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and cash equivalents at the end of the six-month period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center"/>
              <w:rPr/>
            </w:pPr>
            <w:r>
              <w:rPr/>
              <w:t> </w:t>
            </w:r>
          </w:p>
        </w:tc>
        <w:tc>
          <w:tcPr>
            <w:tcW w:w="47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110,835</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25,524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1" w:name="a_005"/>
      <w:bookmarkEnd w:id="11"/>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left"/>
        <w:rPr>
          <w:caps/>
        </w:rPr>
      </w:pPr>
      <w:r>
        <w:rPr>
          <w:caps/>
        </w:rPr>
        <w:t> </w:t>
      </w:r>
    </w:p>
    <w:tbl>
      <w:tblPr>
        <w:tblW w:w="6855" w:type="dxa"/>
        <w:jc w:val="left"/>
        <w:tblInd w:w="0" w:type="dxa"/>
        <w:tblLayout w:type="fixed"/>
        <w:tblCellMar>
          <w:top w:w="0" w:type="dxa"/>
          <w:left w:w="0" w:type="dxa"/>
          <w:bottom w:w="0" w:type="dxa"/>
          <w:right w:w="0" w:type="dxa"/>
        </w:tblCellMar>
      </w:tblPr>
      <w:tblGrid>
        <w:gridCol w:w="860"/>
        <w:gridCol w:w="5720"/>
        <w:gridCol w:w="275"/>
      </w:tblGrid>
      <w:tr>
        <w:trPr/>
        <w:tc>
          <w:tcPr>
            <w:tcW w:w="860" w:type="dxa"/>
            <w:tcBorders/>
            <w:shd w:fill="CCEEFF" w:val="clear"/>
            <w:vAlign w:val="center"/>
          </w:tcPr>
          <w:p>
            <w:pPr>
              <w:pStyle w:val="TableContents"/>
              <w:bidi w:val="0"/>
              <w:spacing w:before="0" w:after="283"/>
              <w:jc w:val="left"/>
              <w:rPr/>
            </w:pPr>
            <w:r>
              <w:rPr/>
              <w:t>Note 1.</w:t>
            </w:r>
          </w:p>
        </w:tc>
        <w:tc>
          <w:tcPr>
            <w:tcW w:w="5720" w:type="dxa"/>
            <w:tcBorders/>
            <w:shd w:fill="CCEEFF" w:val="clear"/>
            <w:vAlign w:val="center"/>
          </w:tcPr>
          <w:p>
            <w:pPr>
              <w:pStyle w:val="TableContents"/>
              <w:bidi w:val="0"/>
              <w:spacing w:before="0" w:after="283"/>
              <w:jc w:val="left"/>
              <w:rPr/>
            </w:pPr>
            <w:r>
              <w:rPr/>
              <w:t>Corporate information and description of business</w:t>
            </w:r>
          </w:p>
        </w:tc>
        <w:tc>
          <w:tcPr>
            <w:tcW w:w="275" w:type="dxa"/>
            <w:tcBorders/>
            <w:shd w:fill="CCEEFF" w:val="clear"/>
            <w:vAlign w:val="center"/>
          </w:tcPr>
          <w:p>
            <w:pPr>
              <w:pStyle w:val="TableContents"/>
              <w:bidi w:val="0"/>
              <w:spacing w:before="0" w:after="283"/>
              <w:jc w:val="right"/>
              <w:rPr/>
            </w:pPr>
            <w:r>
              <w:rPr/>
              <w:t>7</w:t>
            </w:r>
          </w:p>
        </w:tc>
      </w:tr>
      <w:tr>
        <w:trPr/>
        <w:tc>
          <w:tcPr>
            <w:tcW w:w="860" w:type="dxa"/>
            <w:tcBorders/>
            <w:shd w:fill="FFFFFF" w:val="clear"/>
            <w:vAlign w:val="center"/>
          </w:tcPr>
          <w:p>
            <w:pPr>
              <w:pStyle w:val="TableContents"/>
              <w:bidi w:val="0"/>
              <w:spacing w:before="0" w:after="283"/>
              <w:jc w:val="left"/>
              <w:rPr/>
            </w:pPr>
            <w:r>
              <w:rPr/>
              <w:t>Note 2.</w:t>
            </w:r>
          </w:p>
        </w:tc>
        <w:tc>
          <w:tcPr>
            <w:tcW w:w="5720" w:type="dxa"/>
            <w:tcBorders/>
            <w:shd w:fill="FFFFFF" w:val="clear"/>
            <w:vAlign w:val="center"/>
          </w:tcPr>
          <w:p>
            <w:pPr>
              <w:pStyle w:val="TableContents"/>
              <w:bidi w:val="0"/>
              <w:spacing w:before="0" w:after="283"/>
              <w:jc w:val="left"/>
              <w:rPr/>
            </w:pPr>
            <w:r>
              <w:rPr/>
              <w:t>Key events</w:t>
            </w:r>
          </w:p>
        </w:tc>
        <w:tc>
          <w:tcPr>
            <w:tcW w:w="275" w:type="dxa"/>
            <w:tcBorders/>
            <w:shd w:fill="FFFFFF" w:val="clear"/>
            <w:vAlign w:val="center"/>
          </w:tcPr>
          <w:p>
            <w:pPr>
              <w:pStyle w:val="TableContents"/>
              <w:bidi w:val="0"/>
              <w:spacing w:before="0" w:after="283"/>
              <w:jc w:val="right"/>
              <w:rPr/>
            </w:pPr>
            <w:r>
              <w:rPr/>
              <w:t>7</w:t>
            </w:r>
          </w:p>
        </w:tc>
      </w:tr>
      <w:tr>
        <w:trPr/>
        <w:tc>
          <w:tcPr>
            <w:tcW w:w="860" w:type="dxa"/>
            <w:tcBorders/>
            <w:shd w:fill="CCEEFF" w:val="clear"/>
            <w:vAlign w:val="center"/>
          </w:tcPr>
          <w:p>
            <w:pPr>
              <w:pStyle w:val="TableContents"/>
              <w:bidi w:val="0"/>
              <w:spacing w:before="0" w:after="283"/>
              <w:jc w:val="left"/>
              <w:rPr/>
            </w:pPr>
            <w:r>
              <w:rPr/>
              <w:t>Note 3.</w:t>
            </w:r>
          </w:p>
        </w:tc>
        <w:tc>
          <w:tcPr>
            <w:tcW w:w="5720" w:type="dxa"/>
            <w:tcBorders/>
            <w:shd w:fill="CCEEFF" w:val="clear"/>
            <w:vAlign w:val="center"/>
          </w:tcPr>
          <w:p>
            <w:pPr>
              <w:pStyle w:val="TableContents"/>
              <w:bidi w:val="0"/>
              <w:spacing w:before="0" w:after="283"/>
              <w:jc w:val="left"/>
              <w:rPr/>
            </w:pPr>
            <w:r>
              <w:rPr/>
              <w:t>Basis of preparation of the consolidated financial statements</w:t>
            </w:r>
          </w:p>
        </w:tc>
        <w:tc>
          <w:tcPr>
            <w:tcW w:w="275" w:type="dxa"/>
            <w:tcBorders/>
            <w:shd w:fill="CCEEFF" w:val="clear"/>
            <w:vAlign w:val="center"/>
          </w:tcPr>
          <w:p>
            <w:pPr>
              <w:pStyle w:val="TableContents"/>
              <w:bidi w:val="0"/>
              <w:spacing w:before="0" w:after="283"/>
              <w:jc w:val="right"/>
              <w:rPr/>
            </w:pPr>
            <w:r>
              <w:rPr/>
              <w:t>8</w:t>
            </w:r>
          </w:p>
        </w:tc>
      </w:tr>
      <w:tr>
        <w:trPr/>
        <w:tc>
          <w:tcPr>
            <w:tcW w:w="860" w:type="dxa"/>
            <w:tcBorders/>
            <w:shd w:fill="FFFFFF" w:val="clear"/>
            <w:vAlign w:val="center"/>
          </w:tcPr>
          <w:p>
            <w:pPr>
              <w:pStyle w:val="TableContents"/>
              <w:bidi w:val="0"/>
              <w:spacing w:before="0" w:after="283"/>
              <w:jc w:val="left"/>
              <w:rPr/>
            </w:pPr>
            <w:r>
              <w:rPr/>
              <w:t>Note 4.</w:t>
            </w:r>
          </w:p>
        </w:tc>
        <w:tc>
          <w:tcPr>
            <w:tcW w:w="5720" w:type="dxa"/>
            <w:tcBorders/>
            <w:shd w:fill="FFFFFF" w:val="clear"/>
            <w:vAlign w:val="center"/>
          </w:tcPr>
          <w:p>
            <w:pPr>
              <w:pStyle w:val="TableContents"/>
              <w:bidi w:val="0"/>
              <w:spacing w:before="0" w:after="283"/>
              <w:jc w:val="left"/>
              <w:rPr/>
            </w:pPr>
            <w:r>
              <w:rPr/>
              <w:t>Liquidity risk</w:t>
            </w:r>
          </w:p>
        </w:tc>
        <w:tc>
          <w:tcPr>
            <w:tcW w:w="275" w:type="dxa"/>
            <w:tcBorders/>
            <w:shd w:fill="FFFFFF" w:val="clear"/>
            <w:vAlign w:val="center"/>
          </w:tcPr>
          <w:p>
            <w:pPr>
              <w:pStyle w:val="TableContents"/>
              <w:bidi w:val="0"/>
              <w:spacing w:before="0" w:after="283"/>
              <w:jc w:val="right"/>
              <w:rPr/>
            </w:pPr>
            <w:r>
              <w:rPr/>
              <w:t>9</w:t>
            </w:r>
          </w:p>
        </w:tc>
      </w:tr>
      <w:tr>
        <w:trPr/>
        <w:tc>
          <w:tcPr>
            <w:tcW w:w="860" w:type="dxa"/>
            <w:tcBorders/>
            <w:shd w:fill="CCEEFF" w:val="clear"/>
            <w:vAlign w:val="center"/>
          </w:tcPr>
          <w:p>
            <w:pPr>
              <w:pStyle w:val="TableContents"/>
              <w:bidi w:val="0"/>
              <w:spacing w:before="0" w:after="283"/>
              <w:jc w:val="left"/>
              <w:rPr/>
            </w:pPr>
            <w:r>
              <w:rPr/>
              <w:t>Note 5.</w:t>
            </w:r>
          </w:p>
        </w:tc>
        <w:tc>
          <w:tcPr>
            <w:tcW w:w="5720" w:type="dxa"/>
            <w:tcBorders/>
            <w:shd w:fill="CCEEFF" w:val="clear"/>
            <w:vAlign w:val="center"/>
          </w:tcPr>
          <w:p>
            <w:pPr>
              <w:pStyle w:val="TableContents"/>
              <w:bidi w:val="0"/>
              <w:spacing w:before="0" w:after="283"/>
              <w:jc w:val="left"/>
              <w:rPr/>
            </w:pPr>
            <w:r>
              <w:rPr/>
              <w:t>Segment information</w:t>
            </w:r>
          </w:p>
        </w:tc>
        <w:tc>
          <w:tcPr>
            <w:tcW w:w="275" w:type="dxa"/>
            <w:tcBorders/>
            <w:shd w:fill="CCEEFF" w:val="clear"/>
            <w:vAlign w:val="center"/>
          </w:tcPr>
          <w:p>
            <w:pPr>
              <w:pStyle w:val="TableContents"/>
              <w:bidi w:val="0"/>
              <w:spacing w:before="0" w:after="283"/>
              <w:jc w:val="right"/>
              <w:rPr/>
            </w:pPr>
            <w:r>
              <w:rPr/>
              <w:t>9</w:t>
            </w:r>
          </w:p>
        </w:tc>
      </w:tr>
      <w:tr>
        <w:trPr/>
        <w:tc>
          <w:tcPr>
            <w:tcW w:w="860" w:type="dxa"/>
            <w:tcBorders/>
            <w:shd w:fill="FFFFFF" w:val="clear"/>
            <w:vAlign w:val="center"/>
          </w:tcPr>
          <w:p>
            <w:pPr>
              <w:pStyle w:val="TableContents"/>
              <w:bidi w:val="0"/>
              <w:spacing w:before="0" w:after="283"/>
              <w:jc w:val="left"/>
              <w:rPr/>
            </w:pPr>
            <w:r>
              <w:rPr/>
              <w:t>Note 6.</w:t>
            </w:r>
          </w:p>
        </w:tc>
        <w:tc>
          <w:tcPr>
            <w:tcW w:w="5720" w:type="dxa"/>
            <w:tcBorders/>
            <w:shd w:fill="FFFFFF" w:val="clear"/>
            <w:vAlign w:val="center"/>
          </w:tcPr>
          <w:p>
            <w:pPr>
              <w:pStyle w:val="TableContents"/>
              <w:bidi w:val="0"/>
              <w:spacing w:before="0" w:after="283"/>
              <w:jc w:val="left"/>
              <w:rPr/>
            </w:pPr>
            <w:r>
              <w:rPr/>
              <w:t>Non-current assets</w:t>
            </w:r>
          </w:p>
        </w:tc>
        <w:tc>
          <w:tcPr>
            <w:tcW w:w="275" w:type="dxa"/>
            <w:tcBorders/>
            <w:shd w:fill="FFFFFF" w:val="clear"/>
            <w:vAlign w:val="center"/>
          </w:tcPr>
          <w:p>
            <w:pPr>
              <w:pStyle w:val="TableContents"/>
              <w:bidi w:val="0"/>
              <w:spacing w:before="0" w:after="283"/>
              <w:jc w:val="right"/>
              <w:rPr/>
            </w:pPr>
            <w:r>
              <w:rPr/>
              <w:t>10</w:t>
            </w:r>
          </w:p>
        </w:tc>
      </w:tr>
      <w:tr>
        <w:trPr/>
        <w:tc>
          <w:tcPr>
            <w:tcW w:w="860" w:type="dxa"/>
            <w:tcBorders/>
            <w:shd w:fill="CCEEFF" w:val="clear"/>
            <w:vAlign w:val="center"/>
          </w:tcPr>
          <w:p>
            <w:pPr>
              <w:pStyle w:val="TableContents"/>
              <w:bidi w:val="0"/>
              <w:spacing w:before="0" w:after="283"/>
              <w:jc w:val="left"/>
              <w:rPr/>
            </w:pPr>
            <w:r>
              <w:rPr/>
              <w:t>Note 7.</w:t>
            </w:r>
          </w:p>
        </w:tc>
        <w:tc>
          <w:tcPr>
            <w:tcW w:w="5720" w:type="dxa"/>
            <w:tcBorders/>
            <w:shd w:fill="CCEEFF" w:val="clear"/>
            <w:vAlign w:val="center"/>
          </w:tcPr>
          <w:p>
            <w:pPr>
              <w:pStyle w:val="TableContents"/>
              <w:bidi w:val="0"/>
              <w:spacing w:before="0" w:after="283"/>
              <w:jc w:val="left"/>
              <w:rPr/>
            </w:pPr>
            <w:r>
              <w:rPr/>
              <w:t>Current assets</w:t>
            </w:r>
          </w:p>
        </w:tc>
        <w:tc>
          <w:tcPr>
            <w:tcW w:w="275" w:type="dxa"/>
            <w:tcBorders/>
            <w:shd w:fill="CCEEFF" w:val="clear"/>
            <w:vAlign w:val="center"/>
          </w:tcPr>
          <w:p>
            <w:pPr>
              <w:pStyle w:val="TableContents"/>
              <w:bidi w:val="0"/>
              <w:spacing w:before="0" w:after="283"/>
              <w:jc w:val="right"/>
              <w:rPr/>
            </w:pPr>
            <w:r>
              <w:rPr/>
              <w:t>11</w:t>
            </w:r>
          </w:p>
        </w:tc>
      </w:tr>
      <w:tr>
        <w:trPr/>
        <w:tc>
          <w:tcPr>
            <w:tcW w:w="860" w:type="dxa"/>
            <w:tcBorders/>
            <w:shd w:fill="FFFFFF" w:val="clear"/>
            <w:vAlign w:val="center"/>
          </w:tcPr>
          <w:p>
            <w:pPr>
              <w:pStyle w:val="TableContents"/>
              <w:bidi w:val="0"/>
              <w:spacing w:before="0" w:after="283"/>
              <w:jc w:val="left"/>
              <w:rPr/>
            </w:pPr>
            <w:r>
              <w:rPr/>
              <w:t>Note 8.</w:t>
            </w:r>
          </w:p>
        </w:tc>
        <w:tc>
          <w:tcPr>
            <w:tcW w:w="5720" w:type="dxa"/>
            <w:tcBorders/>
            <w:shd w:fill="FFFFFF" w:val="clear"/>
            <w:vAlign w:val="center"/>
          </w:tcPr>
          <w:p>
            <w:pPr>
              <w:pStyle w:val="TableContents"/>
              <w:bidi w:val="0"/>
              <w:spacing w:before="0" w:after="283"/>
              <w:jc w:val="left"/>
              <w:rPr/>
            </w:pPr>
            <w:r>
              <w:rPr/>
              <w:t>Consolidated Shareholders’ Equity</w:t>
            </w:r>
          </w:p>
        </w:tc>
        <w:tc>
          <w:tcPr>
            <w:tcW w:w="275" w:type="dxa"/>
            <w:tcBorders/>
            <w:shd w:fill="FFFFFF" w:val="clear"/>
            <w:vAlign w:val="center"/>
          </w:tcPr>
          <w:p>
            <w:pPr>
              <w:pStyle w:val="TableContents"/>
              <w:bidi w:val="0"/>
              <w:spacing w:before="0" w:after="283"/>
              <w:jc w:val="right"/>
              <w:rPr/>
            </w:pPr>
            <w:r>
              <w:rPr/>
              <w:t>12</w:t>
            </w:r>
          </w:p>
        </w:tc>
      </w:tr>
      <w:tr>
        <w:trPr/>
        <w:tc>
          <w:tcPr>
            <w:tcW w:w="860" w:type="dxa"/>
            <w:tcBorders/>
            <w:shd w:fill="CCEEFF" w:val="clear"/>
            <w:vAlign w:val="center"/>
          </w:tcPr>
          <w:p>
            <w:pPr>
              <w:pStyle w:val="TableContents"/>
              <w:bidi w:val="0"/>
              <w:spacing w:before="0" w:after="283"/>
              <w:jc w:val="left"/>
              <w:rPr/>
            </w:pPr>
            <w:r>
              <w:rPr/>
              <w:t>Note 9.</w:t>
            </w:r>
          </w:p>
        </w:tc>
        <w:tc>
          <w:tcPr>
            <w:tcW w:w="5720" w:type="dxa"/>
            <w:tcBorders/>
            <w:shd w:fill="CCEEFF" w:val="clear"/>
            <w:vAlign w:val="center"/>
          </w:tcPr>
          <w:p>
            <w:pPr>
              <w:pStyle w:val="TableContents"/>
              <w:bidi w:val="0"/>
              <w:spacing w:before="0" w:after="283"/>
              <w:jc w:val="left"/>
              <w:rPr/>
            </w:pPr>
            <w:r>
              <w:rPr/>
              <w:t>Financial liabilities</w:t>
            </w:r>
          </w:p>
        </w:tc>
        <w:tc>
          <w:tcPr>
            <w:tcW w:w="275" w:type="dxa"/>
            <w:tcBorders/>
            <w:shd w:fill="CCEEFF" w:val="clear"/>
            <w:vAlign w:val="center"/>
          </w:tcPr>
          <w:p>
            <w:pPr>
              <w:pStyle w:val="TableContents"/>
              <w:bidi w:val="0"/>
              <w:spacing w:before="0" w:after="283"/>
              <w:jc w:val="right"/>
              <w:rPr/>
            </w:pPr>
            <w:r>
              <w:rPr/>
              <w:t>15</w:t>
            </w:r>
          </w:p>
        </w:tc>
      </w:tr>
      <w:tr>
        <w:trPr/>
        <w:tc>
          <w:tcPr>
            <w:tcW w:w="860" w:type="dxa"/>
            <w:tcBorders/>
            <w:shd w:fill="FFFFFF" w:val="clear"/>
            <w:vAlign w:val="center"/>
          </w:tcPr>
          <w:p>
            <w:pPr>
              <w:pStyle w:val="TableContents"/>
              <w:bidi w:val="0"/>
              <w:spacing w:before="0" w:after="283"/>
              <w:jc w:val="left"/>
              <w:rPr/>
            </w:pPr>
            <w:r>
              <w:rPr/>
              <w:t>Note 10.</w:t>
            </w:r>
          </w:p>
        </w:tc>
        <w:tc>
          <w:tcPr>
            <w:tcW w:w="5720" w:type="dxa"/>
            <w:tcBorders/>
            <w:shd w:fill="FFFFFF" w:val="clear"/>
            <w:vAlign w:val="center"/>
          </w:tcPr>
          <w:p>
            <w:pPr>
              <w:pStyle w:val="TableContents"/>
              <w:bidi w:val="0"/>
              <w:spacing w:before="0" w:after="283"/>
              <w:jc w:val="left"/>
              <w:rPr/>
            </w:pPr>
            <w:r>
              <w:rPr/>
              <w:t>Share-based payments</w:t>
            </w:r>
          </w:p>
        </w:tc>
        <w:tc>
          <w:tcPr>
            <w:tcW w:w="275" w:type="dxa"/>
            <w:tcBorders/>
            <w:shd w:fill="FFFFFF" w:val="clear"/>
            <w:vAlign w:val="center"/>
          </w:tcPr>
          <w:p>
            <w:pPr>
              <w:pStyle w:val="TableContents"/>
              <w:bidi w:val="0"/>
              <w:spacing w:before="0" w:after="283"/>
              <w:jc w:val="right"/>
              <w:rPr/>
            </w:pPr>
            <w:r>
              <w:rPr/>
              <w:t>17</w:t>
            </w:r>
          </w:p>
        </w:tc>
      </w:tr>
      <w:tr>
        <w:trPr/>
        <w:tc>
          <w:tcPr>
            <w:tcW w:w="860" w:type="dxa"/>
            <w:tcBorders/>
            <w:shd w:fill="CCEEFF" w:val="clear"/>
            <w:vAlign w:val="center"/>
          </w:tcPr>
          <w:p>
            <w:pPr>
              <w:pStyle w:val="TableContents"/>
              <w:bidi w:val="0"/>
              <w:spacing w:before="0" w:after="283"/>
              <w:jc w:val="left"/>
              <w:rPr/>
            </w:pPr>
            <w:r>
              <w:rPr/>
              <w:t>Note 11.</w:t>
            </w:r>
          </w:p>
        </w:tc>
        <w:tc>
          <w:tcPr>
            <w:tcW w:w="5720" w:type="dxa"/>
            <w:tcBorders/>
            <w:shd w:fill="CCEEFF" w:val="clear"/>
            <w:vAlign w:val="center"/>
          </w:tcPr>
          <w:p>
            <w:pPr>
              <w:pStyle w:val="TableContents"/>
              <w:bidi w:val="0"/>
              <w:spacing w:before="0" w:after="283"/>
              <w:jc w:val="left"/>
              <w:rPr/>
            </w:pPr>
            <w:r>
              <w:rPr/>
              <w:t>Deferred income from government grants</w:t>
            </w:r>
          </w:p>
        </w:tc>
        <w:tc>
          <w:tcPr>
            <w:tcW w:w="275" w:type="dxa"/>
            <w:tcBorders/>
            <w:shd w:fill="CCEEFF" w:val="clear"/>
            <w:vAlign w:val="center"/>
          </w:tcPr>
          <w:p>
            <w:pPr>
              <w:pStyle w:val="TableContents"/>
              <w:bidi w:val="0"/>
              <w:spacing w:before="0" w:after="283"/>
              <w:jc w:val="right"/>
              <w:rPr/>
            </w:pPr>
            <w:r>
              <w:rPr/>
              <w:t>19</w:t>
            </w:r>
          </w:p>
        </w:tc>
      </w:tr>
      <w:tr>
        <w:trPr/>
        <w:tc>
          <w:tcPr>
            <w:tcW w:w="860" w:type="dxa"/>
            <w:tcBorders/>
            <w:shd w:fill="FFFFFF" w:val="clear"/>
            <w:vAlign w:val="center"/>
          </w:tcPr>
          <w:p>
            <w:pPr>
              <w:pStyle w:val="TableContents"/>
              <w:bidi w:val="0"/>
              <w:spacing w:before="0" w:after="283"/>
              <w:jc w:val="left"/>
              <w:rPr/>
            </w:pPr>
            <w:r>
              <w:rPr/>
              <w:t>Note 12.</w:t>
            </w:r>
          </w:p>
        </w:tc>
        <w:tc>
          <w:tcPr>
            <w:tcW w:w="5720" w:type="dxa"/>
            <w:tcBorders/>
            <w:shd w:fill="FFFFFF" w:val="clear"/>
            <w:vAlign w:val="center"/>
          </w:tcPr>
          <w:p>
            <w:pPr>
              <w:pStyle w:val="TableContents"/>
              <w:bidi w:val="0"/>
              <w:spacing w:before="0" w:after="283"/>
              <w:jc w:val="left"/>
              <w:rPr/>
            </w:pPr>
            <w:r>
              <w:rPr/>
              <w:t>Contract liabilities</w:t>
            </w:r>
          </w:p>
        </w:tc>
        <w:tc>
          <w:tcPr>
            <w:tcW w:w="275" w:type="dxa"/>
            <w:tcBorders/>
            <w:shd w:fill="FFFFFF" w:val="clear"/>
            <w:vAlign w:val="center"/>
          </w:tcPr>
          <w:p>
            <w:pPr>
              <w:pStyle w:val="TableContents"/>
              <w:bidi w:val="0"/>
              <w:spacing w:before="0" w:after="283"/>
              <w:jc w:val="right"/>
              <w:rPr/>
            </w:pPr>
            <w:r>
              <w:rPr/>
              <w:t>20</w:t>
            </w:r>
          </w:p>
        </w:tc>
      </w:tr>
      <w:tr>
        <w:trPr/>
        <w:tc>
          <w:tcPr>
            <w:tcW w:w="860" w:type="dxa"/>
            <w:tcBorders/>
            <w:shd w:fill="CCEEFF" w:val="clear"/>
            <w:vAlign w:val="center"/>
          </w:tcPr>
          <w:p>
            <w:pPr>
              <w:pStyle w:val="TableContents"/>
              <w:bidi w:val="0"/>
              <w:spacing w:before="0" w:after="283"/>
              <w:jc w:val="left"/>
              <w:rPr/>
            </w:pPr>
            <w:r>
              <w:rPr/>
              <w:t>Note 13.</w:t>
            </w:r>
          </w:p>
        </w:tc>
        <w:tc>
          <w:tcPr>
            <w:tcW w:w="5720" w:type="dxa"/>
            <w:tcBorders/>
            <w:shd w:fill="CCEEFF" w:val="clear"/>
            <w:vAlign w:val="center"/>
          </w:tcPr>
          <w:p>
            <w:pPr>
              <w:pStyle w:val="TableContents"/>
              <w:bidi w:val="0"/>
              <w:spacing w:before="0" w:after="283"/>
              <w:jc w:val="left"/>
              <w:rPr/>
            </w:pPr>
            <w:r>
              <w:rPr/>
              <w:t>Revenue</w:t>
            </w:r>
          </w:p>
        </w:tc>
        <w:tc>
          <w:tcPr>
            <w:tcW w:w="275" w:type="dxa"/>
            <w:tcBorders/>
            <w:shd w:fill="CCEEFF" w:val="clear"/>
            <w:vAlign w:val="center"/>
          </w:tcPr>
          <w:p>
            <w:pPr>
              <w:pStyle w:val="TableContents"/>
              <w:bidi w:val="0"/>
              <w:spacing w:before="0" w:after="283"/>
              <w:jc w:val="right"/>
              <w:rPr/>
            </w:pPr>
            <w:r>
              <w:rPr/>
              <w:t>20</w:t>
            </w:r>
          </w:p>
        </w:tc>
      </w:tr>
      <w:tr>
        <w:trPr/>
        <w:tc>
          <w:tcPr>
            <w:tcW w:w="860" w:type="dxa"/>
            <w:tcBorders/>
            <w:shd w:fill="FFFFFF" w:val="clear"/>
            <w:vAlign w:val="center"/>
          </w:tcPr>
          <w:p>
            <w:pPr>
              <w:pStyle w:val="TableContents"/>
              <w:bidi w:val="0"/>
              <w:spacing w:before="0" w:after="283"/>
              <w:jc w:val="left"/>
              <w:rPr/>
            </w:pPr>
            <w:r>
              <w:rPr/>
              <w:t>Note 14.</w:t>
            </w:r>
          </w:p>
        </w:tc>
        <w:tc>
          <w:tcPr>
            <w:tcW w:w="5720" w:type="dxa"/>
            <w:tcBorders/>
            <w:shd w:fill="FFFFFF" w:val="clear"/>
            <w:vAlign w:val="center"/>
          </w:tcPr>
          <w:p>
            <w:pPr>
              <w:pStyle w:val="TableContents"/>
              <w:bidi w:val="0"/>
              <w:spacing w:before="0" w:after="283"/>
              <w:jc w:val="left"/>
              <w:rPr/>
            </w:pPr>
            <w:r>
              <w:rPr/>
              <w:t>Professional services and other services</w:t>
            </w:r>
          </w:p>
        </w:tc>
        <w:tc>
          <w:tcPr>
            <w:tcW w:w="275" w:type="dxa"/>
            <w:tcBorders/>
            <w:shd w:fill="FFFFFF" w:val="clear"/>
            <w:vAlign w:val="center"/>
          </w:tcPr>
          <w:p>
            <w:pPr>
              <w:pStyle w:val="TableContents"/>
              <w:bidi w:val="0"/>
              <w:spacing w:before="0" w:after="283"/>
              <w:jc w:val="right"/>
              <w:rPr/>
            </w:pPr>
            <w:r>
              <w:rPr/>
              <w:t>22</w:t>
            </w:r>
          </w:p>
        </w:tc>
      </w:tr>
      <w:tr>
        <w:trPr/>
        <w:tc>
          <w:tcPr>
            <w:tcW w:w="860" w:type="dxa"/>
            <w:tcBorders/>
            <w:shd w:fill="CCEEFF" w:val="clear"/>
            <w:vAlign w:val="center"/>
          </w:tcPr>
          <w:p>
            <w:pPr>
              <w:pStyle w:val="TableContents"/>
              <w:bidi w:val="0"/>
              <w:spacing w:before="0" w:after="283"/>
              <w:jc w:val="left"/>
              <w:rPr/>
            </w:pPr>
            <w:r>
              <w:rPr/>
              <w:t>Note 15.</w:t>
            </w:r>
          </w:p>
        </w:tc>
        <w:tc>
          <w:tcPr>
            <w:tcW w:w="5720" w:type="dxa"/>
            <w:tcBorders/>
            <w:shd w:fill="CCEEFF" w:val="clear"/>
            <w:vAlign w:val="center"/>
          </w:tcPr>
          <w:p>
            <w:pPr>
              <w:pStyle w:val="TableContents"/>
              <w:bidi w:val="0"/>
              <w:spacing w:before="0" w:after="283"/>
              <w:jc w:val="left"/>
              <w:rPr/>
            </w:pPr>
            <w:r>
              <w:rPr/>
              <w:t>Income taxes</w:t>
            </w:r>
          </w:p>
        </w:tc>
        <w:tc>
          <w:tcPr>
            <w:tcW w:w="275" w:type="dxa"/>
            <w:tcBorders/>
            <w:shd w:fill="CCEEFF" w:val="clear"/>
            <w:vAlign w:val="center"/>
          </w:tcPr>
          <w:p>
            <w:pPr>
              <w:pStyle w:val="TableContents"/>
              <w:bidi w:val="0"/>
              <w:spacing w:before="0" w:after="283"/>
              <w:jc w:val="right"/>
              <w:rPr/>
            </w:pPr>
            <w:r>
              <w:rPr/>
              <w:t>22</w:t>
            </w:r>
          </w:p>
        </w:tc>
      </w:tr>
      <w:tr>
        <w:trPr/>
        <w:tc>
          <w:tcPr>
            <w:tcW w:w="860" w:type="dxa"/>
            <w:tcBorders/>
            <w:shd w:fill="FFFFFF" w:val="clear"/>
            <w:vAlign w:val="center"/>
          </w:tcPr>
          <w:p>
            <w:pPr>
              <w:pStyle w:val="TableContents"/>
              <w:bidi w:val="0"/>
              <w:spacing w:before="0" w:after="283"/>
              <w:jc w:val="left"/>
              <w:rPr/>
            </w:pPr>
            <w:r>
              <w:rPr/>
              <w:t>Note 16.</w:t>
            </w:r>
          </w:p>
        </w:tc>
        <w:tc>
          <w:tcPr>
            <w:tcW w:w="5720" w:type="dxa"/>
            <w:tcBorders/>
            <w:shd w:fill="FFFFFF" w:val="clear"/>
            <w:vAlign w:val="center"/>
          </w:tcPr>
          <w:p>
            <w:pPr>
              <w:pStyle w:val="TableContents"/>
              <w:bidi w:val="0"/>
              <w:spacing w:before="0" w:after="283"/>
              <w:jc w:val="left"/>
              <w:rPr/>
            </w:pPr>
            <w:r>
              <w:rPr/>
              <w:t>Loss per share</w:t>
            </w:r>
          </w:p>
        </w:tc>
        <w:tc>
          <w:tcPr>
            <w:tcW w:w="275" w:type="dxa"/>
            <w:tcBorders/>
            <w:shd w:fill="FFFFFF" w:val="clear"/>
            <w:vAlign w:val="center"/>
          </w:tcPr>
          <w:p>
            <w:pPr>
              <w:pStyle w:val="TableContents"/>
              <w:bidi w:val="0"/>
              <w:spacing w:before="0" w:after="283"/>
              <w:jc w:val="right"/>
              <w:rPr/>
            </w:pPr>
            <w:r>
              <w:rPr/>
              <w:t>22</w:t>
            </w:r>
          </w:p>
        </w:tc>
      </w:tr>
      <w:tr>
        <w:trPr/>
        <w:tc>
          <w:tcPr>
            <w:tcW w:w="860" w:type="dxa"/>
            <w:tcBorders/>
            <w:shd w:fill="CCEEFF" w:val="clear"/>
            <w:vAlign w:val="center"/>
          </w:tcPr>
          <w:p>
            <w:pPr>
              <w:pStyle w:val="TableContents"/>
              <w:bidi w:val="0"/>
              <w:spacing w:before="0" w:after="283"/>
              <w:jc w:val="left"/>
              <w:rPr/>
            </w:pPr>
            <w:r>
              <w:rPr/>
              <w:t>Note 17.</w:t>
            </w:r>
          </w:p>
        </w:tc>
        <w:tc>
          <w:tcPr>
            <w:tcW w:w="5720" w:type="dxa"/>
            <w:tcBorders/>
            <w:shd w:fill="CCEEFF" w:val="clear"/>
            <w:vAlign w:val="center"/>
          </w:tcPr>
          <w:p>
            <w:pPr>
              <w:pStyle w:val="TableContents"/>
              <w:bidi w:val="0"/>
              <w:spacing w:before="0" w:after="283"/>
              <w:jc w:val="left"/>
              <w:rPr/>
            </w:pPr>
            <w:r>
              <w:rPr/>
              <w:t>Related party disclosures</w:t>
            </w:r>
          </w:p>
        </w:tc>
        <w:tc>
          <w:tcPr>
            <w:tcW w:w="275" w:type="dxa"/>
            <w:tcBorders/>
            <w:shd w:fill="CCEEFF" w:val="clear"/>
            <w:vAlign w:val="center"/>
          </w:tcPr>
          <w:p>
            <w:pPr>
              <w:pStyle w:val="TableContents"/>
              <w:bidi w:val="0"/>
              <w:spacing w:before="0" w:after="283"/>
              <w:jc w:val="right"/>
              <w:rPr/>
            </w:pPr>
            <w:r>
              <w:rPr/>
              <w:t>23</w:t>
            </w:r>
          </w:p>
        </w:tc>
      </w:tr>
      <w:tr>
        <w:trPr/>
        <w:tc>
          <w:tcPr>
            <w:tcW w:w="860" w:type="dxa"/>
            <w:tcBorders/>
            <w:shd w:fill="FFFFFF" w:val="clear"/>
            <w:vAlign w:val="center"/>
          </w:tcPr>
          <w:p>
            <w:pPr>
              <w:pStyle w:val="TableContents"/>
              <w:bidi w:val="0"/>
              <w:spacing w:before="0" w:after="283"/>
              <w:jc w:val="left"/>
              <w:rPr/>
            </w:pPr>
            <w:r>
              <w:rPr/>
              <w:t>Note 18.</w:t>
            </w:r>
          </w:p>
        </w:tc>
        <w:tc>
          <w:tcPr>
            <w:tcW w:w="5720" w:type="dxa"/>
            <w:tcBorders/>
            <w:shd w:fill="FFFFFF" w:val="clear"/>
            <w:vAlign w:val="center"/>
          </w:tcPr>
          <w:p>
            <w:pPr>
              <w:pStyle w:val="TableContents"/>
              <w:bidi w:val="0"/>
              <w:spacing w:before="0" w:after="283"/>
              <w:jc w:val="left"/>
              <w:rPr/>
            </w:pPr>
            <w:r>
              <w:rPr/>
              <w:t>Off-balance-sheet commitments</w:t>
            </w:r>
          </w:p>
        </w:tc>
        <w:tc>
          <w:tcPr>
            <w:tcW w:w="275" w:type="dxa"/>
            <w:tcBorders/>
            <w:shd w:fill="FFFFFF" w:val="clear"/>
            <w:vAlign w:val="center"/>
          </w:tcPr>
          <w:p>
            <w:pPr>
              <w:pStyle w:val="TableContents"/>
              <w:bidi w:val="0"/>
              <w:spacing w:before="0" w:after="283"/>
              <w:jc w:val="right"/>
              <w:rPr/>
            </w:pPr>
            <w:r>
              <w:rPr/>
              <w:t>24</w:t>
            </w:r>
          </w:p>
        </w:tc>
      </w:tr>
      <w:tr>
        <w:trPr/>
        <w:tc>
          <w:tcPr>
            <w:tcW w:w="860" w:type="dxa"/>
            <w:tcBorders/>
            <w:shd w:fill="CCEEFF" w:val="clear"/>
            <w:vAlign w:val="center"/>
          </w:tcPr>
          <w:p>
            <w:pPr>
              <w:pStyle w:val="TableContents"/>
              <w:bidi w:val="0"/>
              <w:spacing w:before="0" w:after="283"/>
              <w:jc w:val="left"/>
              <w:rPr/>
            </w:pPr>
            <w:r>
              <w:rPr/>
              <w:t>Note 19.</w:t>
            </w:r>
          </w:p>
        </w:tc>
        <w:tc>
          <w:tcPr>
            <w:tcW w:w="5720" w:type="dxa"/>
            <w:tcBorders/>
            <w:shd w:fill="CCEEFF" w:val="clear"/>
            <w:vAlign w:val="center"/>
          </w:tcPr>
          <w:p>
            <w:pPr>
              <w:pStyle w:val="TableContents"/>
              <w:bidi w:val="0"/>
              <w:spacing w:before="0" w:after="283"/>
              <w:jc w:val="left"/>
              <w:rPr/>
            </w:pPr>
            <w:r>
              <w:rPr/>
              <w:t>Changes in net working capital related to operating activities</w:t>
            </w:r>
          </w:p>
        </w:tc>
        <w:tc>
          <w:tcPr>
            <w:tcW w:w="275" w:type="dxa"/>
            <w:tcBorders/>
            <w:shd w:fill="CCEEFF" w:val="clear"/>
            <w:vAlign w:val="center"/>
          </w:tcPr>
          <w:p>
            <w:pPr>
              <w:pStyle w:val="TableContents"/>
              <w:bidi w:val="0"/>
              <w:spacing w:before="0" w:after="283"/>
              <w:jc w:val="right"/>
              <w:rPr/>
            </w:pPr>
            <w:r>
              <w:rPr/>
              <w:t>26</w:t>
            </w:r>
          </w:p>
        </w:tc>
      </w:tr>
      <w:tr>
        <w:trPr/>
        <w:tc>
          <w:tcPr>
            <w:tcW w:w="860" w:type="dxa"/>
            <w:tcBorders/>
            <w:shd w:fill="FFFFFF" w:val="clear"/>
            <w:vAlign w:val="center"/>
          </w:tcPr>
          <w:p>
            <w:pPr>
              <w:pStyle w:val="TableContents"/>
              <w:bidi w:val="0"/>
              <w:spacing w:before="0" w:after="283"/>
              <w:jc w:val="left"/>
              <w:rPr/>
            </w:pPr>
            <w:r>
              <w:rPr/>
              <w:t>Note 20.</w:t>
            </w:r>
          </w:p>
        </w:tc>
        <w:tc>
          <w:tcPr>
            <w:tcW w:w="5720" w:type="dxa"/>
            <w:tcBorders/>
            <w:shd w:fill="FFFFFF" w:val="clear"/>
            <w:vAlign w:val="center"/>
          </w:tcPr>
          <w:p>
            <w:pPr>
              <w:pStyle w:val="TableContents"/>
              <w:bidi w:val="0"/>
              <w:spacing w:before="0" w:after="283"/>
              <w:jc w:val="left"/>
              <w:rPr/>
            </w:pPr>
            <w:r>
              <w:rPr/>
              <w:t>Events after the reporting period</w:t>
            </w:r>
          </w:p>
        </w:tc>
        <w:tc>
          <w:tcPr>
            <w:tcW w:w="275" w:type="dxa"/>
            <w:tcBorders/>
            <w:shd w:fill="FFFFFF" w:val="clear"/>
            <w:vAlign w:val="center"/>
          </w:tcPr>
          <w:p>
            <w:pPr>
              <w:pStyle w:val="TableContents"/>
              <w:bidi w:val="0"/>
              <w:spacing w:before="0" w:after="283"/>
              <w:jc w:val="right"/>
              <w:rPr/>
            </w:pPr>
            <w:r>
              <w:rPr/>
              <w:t>26</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Corporate information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Holding SAS (“the Company” or “the parent”) is a simplified corporation incorporated in France under French law. It was created in February 2026 as part of a group reorganization and is registered with the Evry Trade and Companies Register under number 101 390 649. The registered office is located at 24 Rue Emile Baudot, 91120 Palaiseau, France. The Company became the parent company of Pasqal SAS as part of the Group reorganization described in Note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principally engaged in the development and commercialization of quantum computers based on neutral atoms arranged in 2D and 3D lattices, providing useful quantum advantages to its customers to solve real-world problems.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Key events</w:t>
      </w:r>
    </w:p>
    <w:p>
      <w:pPr>
        <w:pStyle w:val="TextBody"/>
        <w:bidi w:val="0"/>
        <w:spacing w:before="0" w:after="0"/>
        <w:ind w:left="1559" w:right="0" w:hanging="357"/>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Pasqal Holding SAS entered into an agreement and plan of merger (as amended, the “Business Combination Agreement”) with Bleichroeder Acquisition Corp. II (“Bleichroeder”) and Bleichroeder Acquisition France Merger Sub 2 (“Merger Sub”) which, among other things and subject to the terms and conditions contained therein, provided for (a) the merger of Bleichroeder with and into Merger Sub (the “Reincorporation Merger”), with Merger Sub continuing as the surviving company (the “Bleichroeder Surviving Corporation”), and (b) the merger of Pasqal Holding SAS with and into Bleichroeder Surviving Corporation by way of a merger by absorption, with the Bleichroeder Surviving Corporation continuing as the surviving company and changing its name to Pasqal Holding SA (the “Merger”, and together with the Reincorporation Merger, the “Business Combination”). As of June 30, 2026, the proposed Business Combination had not been completed and remained subject to customary closing conditions, including the effectiveness of the registration statement filed with the U.S. Securities and Exchange Commission (“SEC”), shareholder approvals and other conditions set forth in the Business Combination Agreement. The Business Combination was completed on August 27, 2026 (the “Closing”), resulting in the creation of Pasqal Holding SA (“New Pasqal”). See Note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Group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the Group implemented a legal reorganization in connection with its anticipated Business Combination. As part of this reorganization, Pasqal Holding SAS was established as the new parent company of the Group. During the first half of 2026, the shareholders of Pasqal SAS contributed their shares in Pasqal SAS to Pasqal Holding SAS in exchange for shares of Pasqal Holding SAS. The transaction was treated as a capital reorganization with no impact on the carrying values of assets and liabilities or total consolidated equity. All per share data were retroactively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In continuation of the capital increase program initiated in December 2025, the Group proceeded with additional subscriptions of Series C Shares during January and February 2026. A total of 499,769 Series C Shares were issued over this period, generating proceeds of €69,738 thousand.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Following these Series C issuances, and upon completion of the Qualified Equity Financing as contractually defined in the redeemable bonds (“ORAs”) agreements, the ORAs were automatically redeemed in Series C Shares on March 2, 2026. As a result of this redemption, a total of 682,448 Series C Shares were issued to ORA holders on March 2, 2026. The ORAs were derecognized upon conversion into equity instruments, with the corresponding amount reclassified from financial liabilities to equity. See Notes 8 and 9 for further disclosures.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March 4, 2026, in connection with the planned Business Combination, Bleichroeder and Merger Sub entered into a securities purchase agreement, as amended on May 23, 2026 (the “Pre-PIPE Securities Purchase Agreement”), with certain investors providing for the issuance of $312.5 million aggregate principal amount of senior unsecured bonds convertible into New Pasqal ordinary shares (the “Convertible Bonds”) and receive warrants to subscribe for a number of New Pasqal ordinary shares equal to 125% of the total number of New Pasqal ordinary shares into which the Convertible Bonds are initially convertible at closing date, at an initial exercise price of $12.00 per share subject to certain adjustments as set forth therein (the “Warrants”), for an aggregate purchase price of $250.0 million, reflecting a 20% original issue discount (the “March 2026 Financing” or “Pre-PIPE”). The Convertible Bonds bear interest at a rate of either 10% per annum payable in cash semi-annually however, if a payment in cash has not been made on a semi-annual payment date, payment on the next semi-annual Payment Date shall be in PIK at a rate of 12% per annum in payment-in-kind and are convertible at the option of the holder. Concurrently with the Closing on August 27, 2026, the Group consummated the March 2026 Financing. See Note 20 for further disclosures.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Basis of preparation of the consolidated financial statements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Statement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for the six-month period ended June 30, 2026 have been prepared in accordance with IAS 34 (Interim Financial Reporting)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do not include all the information and disclosures required in the annual consolidated financial statements. The accompanying notes therefore relate to significant events and transactions of the period, and should be read in conjunction with the annual consolidated financial statements and related notes for the year ended December 31, 2025, included in the Company’s registration statement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 except for the adoption of new and amended IFRS Accounting Standards as set out below:</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Amendments to the Classification and Measurement of Financial Instruments (Amendments to IFRS 9 and IFRS 7) (issued on 30 May 2024)</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Contracts Referencing Nature-dependent Electricity Amendments to IFRS 9 and IFRS 7 (issued on 18 December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these amendments did not have a material impact on the Group’s half-year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 Presentation and Disclosure in Financial Statements, and the amendments to the other standards, is effective for reporting periods beginning on or after 1 January 2027, but earlier application is permitted and must be disclosed. IFRS 18 will apply retrospectively. The Group does not intend to early adopt IFRS 18 and is currently working to identify all impacts the amendments will have on the primary financial statements and notes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Authorization for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half-year condensed consolidated financial statements were authorized for issue by the Group’s Board of Directors on September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3.3. Judgments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estimates, assumptions and judgments applied in preparing these half-year condensed consolidated financial statements are consistent with those followed in the preparation of the Group’s consolidated annual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liquidity risk, i.e., the risk that it may be unable to meet its financial obligations as they fall due, taking into account the financing requirements associated with the development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Group’s net liquidity position as of June 30, 2026:</w:t>
      </w:r>
    </w:p>
    <w:p>
      <w:pPr>
        <w:pStyle w:val="TextBody"/>
        <w:bidi w:val="0"/>
        <w:spacing w:before="0" w:after="0"/>
        <w:ind w:left="0" w:right="0" w:hanging="0"/>
        <w:jc w:val="left"/>
        <w:rPr>
          <w:caps w:val="false"/>
          <w:smallCaps w:val="false"/>
        </w:rPr>
      </w:pPr>
      <w:r>
        <w:rPr>
          <w:caps w:val="false"/>
          <w:smallCaps w:val="false"/>
        </w:rPr>
        <w:t> </w:t>
      </w:r>
    </w:p>
    <w:tbl>
      <w:tblPr>
        <w:tblW w:w="7433" w:type="dxa"/>
        <w:jc w:val="left"/>
        <w:tblInd w:w="0" w:type="dxa"/>
        <w:tblLayout w:type="fixed"/>
        <w:tblCellMar>
          <w:top w:w="0" w:type="dxa"/>
          <w:left w:w="0" w:type="dxa"/>
          <w:bottom w:w="28" w:type="dxa"/>
          <w:right w:w="0" w:type="dxa"/>
        </w:tblCellMar>
      </w:tblPr>
      <w:tblGrid>
        <w:gridCol w:w="4820"/>
        <w:gridCol w:w="60"/>
        <w:gridCol w:w="61"/>
        <w:gridCol w:w="813"/>
        <w:gridCol w:w="95"/>
        <w:gridCol w:w="60"/>
        <w:gridCol w:w="89"/>
        <w:gridCol w:w="1325"/>
        <w:gridCol w:w="110"/>
      </w:tblGrid>
      <w:tr>
        <w:trPr/>
        <w:tc>
          <w:tcPr>
            <w:tcW w:w="482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20" w:type="dxa"/>
            <w:tcBorders/>
            <w:shd w:fill="CCEEFF" w:val="clear"/>
            <w:tcMar>
              <w:bottom w:w="0" w:type="dxa"/>
            </w:tcMar>
            <w:vAlign w:val="center"/>
          </w:tcPr>
          <w:p>
            <w:pPr>
              <w:pStyle w:val="TableContents"/>
              <w:bidi w:val="0"/>
              <w:spacing w:before="0" w:after="283"/>
              <w:jc w:val="left"/>
              <w:rPr>
                <w:b/>
                <w:sz w:val="20"/>
              </w:rPr>
            </w:pPr>
            <w:r>
              <w:rPr>
                <w:b/>
                <w:sz w:val="20"/>
              </w:rPr>
              <w:t xml:space="preserve">Cash and cash equivalent </w:t>
            </w:r>
            <w:r>
              <w:rPr>
                <w:b/>
                <w:position w:val="7"/>
                <w:sz w:val="16"/>
                <w:sz w:val="20"/>
              </w:rPr>
              <w:t>(1)</w:t>
            </w:r>
            <w:r>
              <w:rPr>
                <w:b/>
                <w:sz w:val="20"/>
              </w:rPr>
              <w:t xml:space="preserve">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110,835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325" w:type="dxa"/>
            <w:tcBorders>
              <w:bottom w:val="single" w:sz="12" w:space="0" w:color="000000"/>
            </w:tcBorders>
            <w:shd w:fill="CCEEFF" w:val="clear"/>
            <w:vAlign w:val="center"/>
          </w:tcPr>
          <w:p>
            <w:pPr>
              <w:pStyle w:val="TableContents"/>
              <w:bidi w:val="0"/>
              <w:spacing w:before="0" w:after="283"/>
              <w:jc w:val="right"/>
              <w:rPr>
                <w:b/>
              </w:rPr>
            </w:pPr>
            <w:r>
              <w:rPr>
                <w:b/>
              </w:rPr>
              <w:t>73,762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20" w:type="dxa"/>
            <w:tcBorders/>
            <w:shd w:fill="FFFFFF" w:val="clear"/>
            <w:tcMar>
              <w:bottom w:w="0" w:type="dxa"/>
            </w:tcMar>
            <w:vAlign w:val="center"/>
          </w:tcPr>
          <w:p>
            <w:pPr>
              <w:pStyle w:val="TableContents"/>
              <w:bidi w:val="0"/>
              <w:spacing w:before="0" w:after="283"/>
              <w:jc w:val="left"/>
              <w:rPr/>
            </w:pPr>
            <w:r>
              <w:rPr/>
              <w:t>Current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(2,854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(105,164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20" w:type="dxa"/>
            <w:tcBorders/>
            <w:shd w:fill="CCEEFF" w:val="clear"/>
            <w:tcMar>
              <w:bottom w:w="0" w:type="dxa"/>
            </w:tcMar>
            <w:vAlign w:val="center"/>
          </w:tcPr>
          <w:p>
            <w:pPr>
              <w:pStyle w:val="TableContents"/>
              <w:bidi w:val="0"/>
              <w:spacing w:before="0" w:after="283"/>
              <w:jc w:val="left"/>
              <w:rPr/>
            </w:pPr>
            <w:r>
              <w:rPr/>
              <w:t>Of which ORA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(102,278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820" w:type="dxa"/>
            <w:tcBorders/>
            <w:shd w:fill="FFFFFF" w:val="clear"/>
            <w:tcMar>
              <w:bottom w:w="0" w:type="dxa"/>
            </w:tcMar>
            <w:vAlign w:val="center"/>
          </w:tcPr>
          <w:p>
            <w:pPr>
              <w:pStyle w:val="TableContents"/>
              <w:bidi w:val="0"/>
              <w:spacing w:before="0" w:after="283"/>
              <w:jc w:val="left"/>
              <w:rPr>
                <w:b/>
                <w:sz w:val="20"/>
              </w:rPr>
            </w:pPr>
            <w:r>
              <w:rPr>
                <w:b/>
                <w:sz w:val="20"/>
              </w:rPr>
              <w:t>Current borrowings excluding ORA</w:t>
            </w:r>
            <w:r>
              <w:rPr>
                <w:b/>
                <w:position w:val="7"/>
                <w:sz w:val="16"/>
                <w:sz w:val="20"/>
              </w:rPr>
              <w:t>(2)</w:t>
            </w:r>
            <w:r>
              <w:rPr>
                <w:b/>
                <w:sz w:val="20"/>
              </w:rPr>
              <w:t xml:space="preserve">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b/>
              </w:rPr>
            </w:pPr>
            <w:r>
              <w:rPr>
                <w:b/>
              </w:rPr>
              <w:t>(2,854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325" w:type="dxa"/>
            <w:tcBorders>
              <w:bottom w:val="single" w:sz="12" w:space="0" w:color="000000"/>
            </w:tcBorders>
            <w:shd w:fill="FFFFFF" w:val="clear"/>
            <w:vAlign w:val="center"/>
          </w:tcPr>
          <w:p>
            <w:pPr>
              <w:pStyle w:val="TableContents"/>
              <w:bidi w:val="0"/>
              <w:spacing w:before="0" w:after="283"/>
              <w:jc w:val="right"/>
              <w:rPr>
                <w:b/>
              </w:rPr>
            </w:pPr>
            <w:r>
              <w:rPr>
                <w:b/>
              </w:rPr>
              <w:t>(2,886</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820" w:type="dxa"/>
            <w:tcBorders/>
            <w:shd w:fill="CCEEFF" w:val="clear"/>
            <w:tcMar>
              <w:bottom w:w="0" w:type="dxa"/>
            </w:tcMar>
            <w:vAlign w:val="center"/>
          </w:tcPr>
          <w:p>
            <w:pPr>
              <w:pStyle w:val="TableContents"/>
              <w:bidi w:val="0"/>
              <w:spacing w:before="0" w:after="283"/>
              <w:jc w:val="left"/>
              <w:rPr/>
            </w:pPr>
            <w:r>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(13,911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right"/>
              <w:rPr/>
            </w:pPr>
            <w:r>
              <w:rPr/>
              <w:t>(9,556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820"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(10,237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right"/>
              <w:rPr/>
            </w:pPr>
            <w:r>
              <w:rPr/>
              <w:t>(8,084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20" w:type="dxa"/>
            <w:tcBorders/>
            <w:shd w:fill="CCEEFF" w:val="clear"/>
            <w:tcMar>
              <w:bottom w:w="0" w:type="dxa"/>
            </w:tcMar>
            <w:vAlign w:val="center"/>
          </w:tcPr>
          <w:p>
            <w:pPr>
              <w:pStyle w:val="TableContents"/>
              <w:bidi w:val="0"/>
              <w:spacing w:before="0" w:after="283"/>
              <w:jc w:val="left"/>
              <w:rPr>
                <w:b/>
              </w:rPr>
            </w:pPr>
            <w:r>
              <w:rPr>
                <w:b/>
              </w:rPr>
              <w:t>Trade payables and other current liabilities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(24,149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325" w:type="dxa"/>
            <w:tcBorders>
              <w:bottom w:val="single" w:sz="12" w:space="0" w:color="000000"/>
            </w:tcBorders>
            <w:shd w:fill="CCEEFF" w:val="clear"/>
            <w:vAlign w:val="center"/>
          </w:tcPr>
          <w:p>
            <w:pPr>
              <w:pStyle w:val="TableContents"/>
              <w:bidi w:val="0"/>
              <w:spacing w:before="0" w:after="283"/>
              <w:jc w:val="right"/>
              <w:rPr>
                <w:b/>
              </w:rPr>
            </w:pPr>
            <w:r>
              <w:rPr>
                <w:b/>
              </w:rPr>
              <w:t>(17,641</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820" w:type="dxa"/>
            <w:tcBorders/>
            <w:shd w:fill="FFFFFF" w:val="clear"/>
            <w:tcMar>
              <w:bottom w:w="0" w:type="dxa"/>
            </w:tcMar>
            <w:vAlign w:val="center"/>
          </w:tcPr>
          <w:p>
            <w:pPr>
              <w:pStyle w:val="TableContents"/>
              <w:bidi w:val="0"/>
              <w:spacing w:before="0" w:after="283"/>
              <w:jc w:val="left"/>
              <w:rPr>
                <w:b/>
              </w:rPr>
            </w:pPr>
            <w:r>
              <w:rPr>
                <w:b/>
              </w:rPr>
              <w:t>Net liquidity position (A) – (B) –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b/>
              </w:rPr>
            </w:pPr>
            <w:r>
              <w:rPr>
                <w:b/>
              </w:rPr>
              <w:t>83,832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325" w:type="dxa"/>
            <w:tcBorders>
              <w:bottom w:val="single" w:sz="12" w:space="0" w:color="000000"/>
            </w:tcBorders>
            <w:shd w:fill="FFFFFF" w:val="clear"/>
            <w:vAlign w:val="center"/>
          </w:tcPr>
          <w:p>
            <w:pPr>
              <w:pStyle w:val="TableContents"/>
              <w:bidi w:val="0"/>
              <w:spacing w:before="0" w:after="283"/>
              <w:jc w:val="right"/>
              <w:rPr>
                <w:b/>
              </w:rPr>
            </w:pPr>
            <w:r>
              <w:rPr>
                <w:b/>
              </w:rPr>
              <w:t>53,235</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osition w:val="8"/>
                <w:sz w:val="19"/>
              </w:rPr>
            </w:pPr>
            <w:r>
              <w:rPr>
                <w:position w:val="8"/>
                <w:sz w:val="19"/>
              </w:rPr>
              <w:t>(1)</w:t>
            </w:r>
          </w:p>
        </w:tc>
        <w:tc>
          <w:tcPr>
            <w:tcW w:w="9979" w:type="dxa"/>
            <w:tcBorders/>
            <w:vAlign w:val="center"/>
          </w:tcPr>
          <w:p>
            <w:pPr>
              <w:pStyle w:val="TableContents"/>
              <w:bidi w:val="0"/>
              <w:spacing w:before="0" w:after="283"/>
              <w:jc w:val="left"/>
              <w:rPr>
                <w:i/>
              </w:rPr>
            </w:pPr>
            <w:r>
              <w:rPr>
                <w:i/>
              </w:rPr>
              <w:t>Cash includes amounts received under the Korean grant agreement and IFA loan, with balances amounting to €2,716 thousand and €4,637 thousand, respectively, as of June 30, 2026. See Note 7.2 for further disclosures.</w:t>
            </w:r>
          </w:p>
        </w:tc>
      </w:tr>
      <w:tr>
        <w:trPr/>
        <w:tc>
          <w:tcPr>
            <w:tcW w:w="226" w:type="dxa"/>
            <w:tcBorders/>
            <w:vAlign w:val="center"/>
          </w:tcPr>
          <w:p>
            <w:pPr>
              <w:pStyle w:val="TableContents"/>
              <w:bidi w:val="0"/>
              <w:spacing w:before="0" w:after="283"/>
              <w:jc w:val="left"/>
              <w:rPr>
                <w:position w:val="8"/>
                <w:sz w:val="19"/>
              </w:rPr>
            </w:pPr>
            <w:r>
              <w:rPr>
                <w:position w:val="8"/>
                <w:sz w:val="19"/>
              </w:rPr>
              <w:t>(2)</w:t>
            </w:r>
          </w:p>
        </w:tc>
        <w:tc>
          <w:tcPr>
            <w:tcW w:w="9979" w:type="dxa"/>
            <w:tcBorders/>
            <w:vAlign w:val="center"/>
          </w:tcPr>
          <w:p>
            <w:pPr>
              <w:pStyle w:val="TableContents"/>
              <w:bidi w:val="0"/>
              <w:spacing w:before="0" w:after="283"/>
              <w:jc w:val="left"/>
              <w:rPr>
                <w:i/>
              </w:rPr>
            </w:pPr>
            <w:r>
              <w:rPr>
                <w:i/>
              </w:rPr>
              <w:t>As of December 31, 2025, the ORAs were excluded from the calculation of the net liquidity position as they were redeemable in ordinary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June 30, 2026,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had cash and cash equivalents of €110,835 thousand. In addition, on March 4, 2026 the Group entered into the Pre-PIPE Securities Purchase Agreement for the purchase of Convertible Bonds and Warrants with certain investors for an aggregate purchase price of $250,000 thousand, reflecting a 20% original issue discount. The Pre-PIPE was consummated concurrently with the Closing. See Notes 2 and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its cash and cash equivalents as of June 30, 2026 will be sufficient to meet its working capital and capital expenditure needs for the next twelve months from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above, management concluded that the going concern basis of accounting remains appropriate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a single operating segment which is the development and implementation of quantum computing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13 for further disclosure on revenue-related segment information.</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Non-current assets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amounted to €19,643 thousand as of June 30, 2026 and to €19,676 thousand as of December 31, 2025, respectively. The movement during the period was due to the impact of changes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did not identify any indication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11"/>
        <w:gridCol w:w="60"/>
        <w:gridCol w:w="119"/>
        <w:gridCol w:w="1273"/>
        <w:gridCol w:w="95"/>
        <w:gridCol w:w="60"/>
        <w:gridCol w:w="108"/>
        <w:gridCol w:w="1238"/>
        <w:gridCol w:w="95"/>
        <w:gridCol w:w="60"/>
        <w:gridCol w:w="105"/>
        <w:gridCol w:w="987"/>
        <w:gridCol w:w="95"/>
        <w:gridCol w:w="60"/>
        <w:gridCol w:w="60"/>
        <w:gridCol w:w="680"/>
        <w:gridCol w:w="99"/>
      </w:tblGrid>
      <w:tr>
        <w:trPr/>
        <w:tc>
          <w:tcPr>
            <w:tcW w:w="5011"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392" w:type="dxa"/>
            <w:gridSpan w:val="2"/>
            <w:tcBorders>
              <w:bottom w:val="single" w:sz="12" w:space="0" w:color="000000"/>
            </w:tcBorders>
            <w:vAlign w:val="center"/>
          </w:tcPr>
          <w:p>
            <w:pPr>
              <w:pStyle w:val="TableContents"/>
              <w:bidi w:val="0"/>
              <w:spacing w:before="0" w:after="283"/>
              <w:jc w:val="center"/>
              <w:rPr>
                <w:b/>
              </w:rPr>
            </w:pPr>
            <w:r>
              <w:rPr>
                <w:b/>
              </w:rPr>
              <w:t xml:space="preserve">Development </w:t>
              <w:b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6" w:type="dxa"/>
            <w:gridSpan w:val="2"/>
            <w:tcBorders>
              <w:bottom w:val="single" w:sz="12" w:space="0" w:color="000000"/>
            </w:tcBorders>
            <w:vAlign w:val="center"/>
          </w:tcPr>
          <w:p>
            <w:pPr>
              <w:pStyle w:val="TableContents"/>
              <w:bidi w:val="0"/>
              <w:spacing w:before="0" w:after="283"/>
              <w:jc w:val="center"/>
              <w:rPr>
                <w:b/>
              </w:rPr>
            </w:pPr>
            <w:r>
              <w:rPr>
                <w:b/>
              </w:rPr>
              <w:t xml:space="preserve">Concessions, </w:t>
              <w:br/>
              <w:t xml:space="preserve">patents, </w:t>
              <w:br/>
              <w:t>licenses</w:t>
              <w:br/>
              <w:t xml:space="preserve">and similar </w:t>
              <w:br/>
              <w:t>assets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2" w:type="dxa"/>
            <w:gridSpan w:val="2"/>
            <w:tcBorders>
              <w:bottom w:val="single" w:sz="12" w:space="0" w:color="000000"/>
            </w:tcBorders>
            <w:vAlign w:val="center"/>
          </w:tcPr>
          <w:p>
            <w:pPr>
              <w:pStyle w:val="TableContents"/>
              <w:bidi w:val="0"/>
              <w:spacing w:before="0" w:after="283"/>
              <w:jc w:val="center"/>
              <w:rPr>
                <w:b/>
              </w:rPr>
            </w:pPr>
            <w:r>
              <w:rPr>
                <w:b/>
              </w:rPr>
              <w:t xml:space="preserve">Intangible </w:t>
              <w:br/>
              <w:t xml:space="preserve">assets in </w:t>
              <w:br/>
              <w:t>progress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99" w:type="dxa"/>
            <w:tcBorders/>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Gross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1,765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14,396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6,305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22,467</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2,362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2,429</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(121</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203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b/>
              </w:rPr>
            </w:pPr>
            <w:r>
              <w:rPr>
                <w:b/>
              </w:rPr>
              <w:t>Gross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1,969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14,374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8,348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24,692</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Amortization and depreciation of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(1,495</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(3,520</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(5,016</w:t>
            </w:r>
          </w:p>
        </w:tc>
        <w:tc>
          <w:tcPr>
            <w:tcW w:w="99"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(139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(698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(836</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18</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Amortization and depreciation of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(1,634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(4,199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(5,834</w:t>
            </w:r>
          </w:p>
        </w:tc>
        <w:tc>
          <w:tcPr>
            <w:tcW w:w="99"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50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b/>
              </w:rPr>
            </w:pPr>
            <w:r>
              <w:rPr>
                <w:b/>
              </w:rPr>
              <w:t>Net intangible assets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270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10,876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6,305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17,451</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(139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(631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2,362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1,592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27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(70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87" w:type="dxa"/>
            <w:tcBorders/>
            <w:shd w:fill="FFFFFF" w:val="clear"/>
            <w:tcMar>
              <w:bottom w:w="0" w:type="dxa"/>
            </w:tcMar>
            <w:vAlign w:val="center"/>
          </w:tcPr>
          <w:p>
            <w:pPr>
              <w:pStyle w:val="TableContents"/>
              <w:bidi w:val="0"/>
              <w:spacing w:before="0" w:after="283"/>
              <w:jc w:val="right"/>
              <w:rPr/>
            </w:pPr>
            <w:r>
              <w:rPr/>
              <w:t>(33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(103</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27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8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99"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011"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FFFFFF" w:val="clear"/>
            <w:vAlign w:val="center"/>
          </w:tcPr>
          <w:p>
            <w:pPr>
              <w:pStyle w:val="TableContents"/>
              <w:bidi w:val="0"/>
              <w:spacing w:before="0" w:after="283"/>
              <w:jc w:val="left"/>
              <w:rPr/>
            </w:pPr>
            <w:r>
              <w:rPr/>
              <w:t> </w:t>
            </w:r>
          </w:p>
        </w:tc>
        <w:tc>
          <w:tcPr>
            <w:tcW w:w="1273" w:type="dxa"/>
            <w:tcBorders>
              <w:bottom w:val="single" w:sz="12" w:space="0" w:color="000000"/>
            </w:tcBorders>
            <w:shd w:fill="FFFFFF" w:val="clear"/>
            <w:vAlign w:val="center"/>
          </w:tcPr>
          <w:p>
            <w:pPr>
              <w:pStyle w:val="TableContents"/>
              <w:bidi w:val="0"/>
              <w:spacing w:before="0" w:after="283"/>
              <w:jc w:val="right"/>
              <w:rPr/>
            </w:pPr>
            <w:r>
              <w:rPr/>
              <w:t>203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FFFFFF" w:val="clear"/>
            <w:vAlign w:val="center"/>
          </w:tcPr>
          <w:p>
            <w:pPr>
              <w:pStyle w:val="TableContents"/>
              <w:bidi w:val="0"/>
              <w:spacing w:before="0" w:after="283"/>
              <w:jc w:val="left"/>
              <w:rPr/>
            </w:pPr>
            <w:r>
              <w:rPr/>
              <w:t> </w:t>
            </w:r>
          </w:p>
        </w:tc>
        <w:tc>
          <w:tcPr>
            <w:tcW w:w="123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FFFFFF" w:val="clear"/>
            <w:vAlign w:val="center"/>
          </w:tcPr>
          <w:p>
            <w:pPr>
              <w:pStyle w:val="TableContents"/>
              <w:bidi w:val="0"/>
              <w:spacing w:before="0" w:after="283"/>
              <w:jc w:val="left"/>
              <w:rPr/>
            </w:pPr>
            <w:r>
              <w:rPr/>
              <w:t> </w:t>
            </w:r>
          </w:p>
        </w:tc>
        <w:tc>
          <w:tcPr>
            <w:tcW w:w="987" w:type="dxa"/>
            <w:tcBorders>
              <w:bottom w:val="single" w:sz="12" w:space="0" w:color="000000"/>
            </w:tcBorders>
            <w:shd w:fill="FFFFFF" w:val="clear"/>
            <w:vAlign w:val="center"/>
          </w:tcPr>
          <w:p>
            <w:pPr>
              <w:pStyle w:val="TableContents"/>
              <w:bidi w:val="0"/>
              <w:spacing w:before="0" w:after="283"/>
              <w:jc w:val="right"/>
              <w:rPr/>
            </w:pPr>
            <w:r>
              <w:rPr/>
              <w:t>(285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(82</w:t>
            </w:r>
          </w:p>
        </w:tc>
        <w:tc>
          <w:tcPr>
            <w:tcW w:w="99"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011" w:type="dxa"/>
            <w:tcBorders/>
            <w:shd w:fill="CCEEFF" w:val="clear"/>
            <w:tcMar>
              <w:bottom w:w="0" w:type="dxa"/>
            </w:tcMar>
            <w:vAlign w:val="center"/>
          </w:tcPr>
          <w:p>
            <w:pPr>
              <w:pStyle w:val="TableContents"/>
              <w:bidi w:val="0"/>
              <w:spacing w:before="0" w:after="283"/>
              <w:jc w:val="left"/>
              <w:rPr>
                <w:b/>
              </w:rPr>
            </w:pPr>
            <w:r>
              <w:rPr>
                <w:b/>
              </w:rPr>
              <w:t>Net intangible assets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1273" w:type="dxa"/>
            <w:tcBorders>
              <w:bottom w:val="single" w:sz="12" w:space="0" w:color="000000"/>
            </w:tcBorders>
            <w:shd w:fill="CCEEFF" w:val="clear"/>
            <w:vAlign w:val="center"/>
          </w:tcPr>
          <w:p>
            <w:pPr>
              <w:pStyle w:val="TableContents"/>
              <w:bidi w:val="0"/>
              <w:spacing w:before="0" w:after="283"/>
              <w:jc w:val="right"/>
              <w:rPr>
                <w:b/>
              </w:rPr>
            </w:pPr>
            <w:r>
              <w:rPr>
                <w:b/>
              </w:rPr>
              <w:t>335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1238" w:type="dxa"/>
            <w:tcBorders>
              <w:bottom w:val="single" w:sz="12" w:space="0" w:color="000000"/>
            </w:tcBorders>
            <w:shd w:fill="CCEEFF" w:val="clear"/>
            <w:vAlign w:val="center"/>
          </w:tcPr>
          <w:p>
            <w:pPr>
              <w:pStyle w:val="TableContents"/>
              <w:bidi w:val="0"/>
              <w:spacing w:before="0" w:after="283"/>
              <w:jc w:val="right"/>
              <w:rPr>
                <w:b/>
              </w:rPr>
            </w:pPr>
            <w:r>
              <w:rPr>
                <w:b/>
              </w:rPr>
              <w:t>10,175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987" w:type="dxa"/>
            <w:tcBorders>
              <w:bottom w:val="single" w:sz="12" w:space="0" w:color="000000"/>
            </w:tcBorders>
            <w:shd w:fill="CCEEFF" w:val="clear"/>
            <w:vAlign w:val="center"/>
          </w:tcPr>
          <w:p>
            <w:pPr>
              <w:pStyle w:val="TableContents"/>
              <w:bidi w:val="0"/>
              <w:spacing w:before="0" w:after="283"/>
              <w:jc w:val="right"/>
              <w:rPr>
                <w:b/>
              </w:rPr>
            </w:pPr>
            <w:r>
              <w:rPr>
                <w:b/>
              </w:rPr>
              <w:t>8,348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b/>
              </w:rPr>
            </w:pPr>
            <w:r>
              <w:rPr>
                <w:b/>
              </w:rPr>
              <w:t>18,858</w:t>
            </w:r>
          </w:p>
        </w:tc>
        <w:tc>
          <w:tcPr>
            <w:tcW w:w="9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intangible assets under development as at June 30, 2026 primarily reflects development expenditures incurred by Pasqal SAS and Aeponyx that meet the capitalization criteria. Non-capitalized research and development costs amounted to €4,189 thousand and €4,030 thousand for the periods ended June 30, 2026 and June 30,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indications of impairment of intangible assets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Property, plant &amp;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8"/>
        <w:gridCol w:w="60"/>
        <w:gridCol w:w="89"/>
        <w:gridCol w:w="1017"/>
        <w:gridCol w:w="95"/>
        <w:gridCol w:w="60"/>
        <w:gridCol w:w="71"/>
        <w:gridCol w:w="823"/>
        <w:gridCol w:w="95"/>
        <w:gridCol w:w="60"/>
        <w:gridCol w:w="96"/>
        <w:gridCol w:w="734"/>
        <w:gridCol w:w="95"/>
        <w:gridCol w:w="60"/>
        <w:gridCol w:w="150"/>
        <w:gridCol w:w="950"/>
        <w:gridCol w:w="95"/>
        <w:gridCol w:w="60"/>
        <w:gridCol w:w="87"/>
        <w:gridCol w:w="1013"/>
        <w:gridCol w:w="95"/>
        <w:gridCol w:w="60"/>
        <w:gridCol w:w="89"/>
        <w:gridCol w:w="831"/>
        <w:gridCol w:w="95"/>
        <w:gridCol w:w="60"/>
        <w:gridCol w:w="60"/>
        <w:gridCol w:w="755"/>
        <w:gridCol w:w="82"/>
      </w:tblGrid>
      <w:tr>
        <w:trPr/>
        <w:tc>
          <w:tcPr>
            <w:tcW w:w="2368" w:type="dxa"/>
            <w:tcBorders>
              <w:bottom w:val="single" w:sz="12" w:space="0" w:color="000000"/>
            </w:tcBorders>
            <w:vAlign w:val="center"/>
          </w:tcPr>
          <w:p>
            <w:pPr>
              <w:pStyle w:val="TableContents"/>
              <w:bidi w:val="0"/>
              <w:spacing w:before="0" w:after="283"/>
              <w:ind w:left="0" w:right="0" w:hanging="200"/>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106" w:type="dxa"/>
            <w:gridSpan w:val="2"/>
            <w:tcBorders>
              <w:bottom w:val="single" w:sz="12" w:space="0" w:color="000000"/>
            </w:tcBorders>
            <w:vAlign w:val="center"/>
          </w:tcPr>
          <w:p>
            <w:pPr>
              <w:pStyle w:val="TableContents"/>
              <w:bidi w:val="0"/>
              <w:spacing w:before="0" w:after="283"/>
              <w:jc w:val="center"/>
              <w:rPr>
                <w:b/>
              </w:rPr>
            </w:pPr>
            <w:r>
              <w:rPr>
                <w:b/>
              </w:rPr>
              <w:t>Plant,</w:t>
              <w:br/>
              <w:t xml:space="preserve">equipment </w:t>
              <w:br/>
              <w:t xml:space="preserve">and </w:t>
              <w:br/>
              <w:t>machinery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 w:type="dxa"/>
            <w:gridSpan w:val="2"/>
            <w:tcBorders>
              <w:bottom w:val="single" w:sz="12" w:space="0" w:color="000000"/>
            </w:tcBorders>
            <w:vAlign w:val="center"/>
          </w:tcPr>
          <w:p>
            <w:pPr>
              <w:pStyle w:val="TableContents"/>
              <w:bidi w:val="0"/>
              <w:spacing w:before="0" w:after="283"/>
              <w:jc w:val="center"/>
              <w:rPr>
                <w:b/>
              </w:rPr>
            </w:pPr>
            <w:r>
              <w:rPr>
                <w:b/>
              </w:rPr>
              <w:t xml:space="preserve">Fixtures </w:t>
              <w:br/>
              <w:t>and fittings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Office</w:t>
              <w:br/>
              <w:t>supplies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Transport</w:t>
              <w:br/>
              <w:t>equipment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Hardware</w:t>
              <w:br/>
              <w:t>equipment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Tangible</w:t>
              <w:br/>
              <w:t xml:space="preserve">assets in </w:t>
              <w:br/>
              <w:t>progress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2" w:type="dxa"/>
            <w:tcBorders/>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Gross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14,366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18,900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744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    </w:t>
            </w:r>
            <w:r>
              <w:rPr>
                <w:b/>
              </w:rPr>
              <w:t>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3,598 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1,069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38,681</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101 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1,449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2,042</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64 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32</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sz w:val="20"/>
              </w:rPr>
            </w:pPr>
            <w:r>
              <w:rPr>
                <w:sz w:val="20"/>
              </w:rPr>
              <w:t xml:space="preserve">2,995 </w:t>
            </w:r>
            <w:r>
              <w:rPr>
                <w:position w:val="7"/>
                <w:sz w:val="16"/>
                <w:sz w:val="20"/>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3,023</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Gross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15,070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18,869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750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6,757 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2,327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43,778</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Amortization and depreciation of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(4,670</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(2,722</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(158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(3,008 </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(10,561</w:t>
            </w:r>
          </w:p>
        </w:tc>
        <w:tc>
          <w:tcPr>
            <w:tcW w:w="82"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(1,352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(1,024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(439 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(2,889</w:t>
            </w:r>
          </w:p>
        </w:tc>
        <w:tc>
          <w:tcPr>
            <w:tcW w:w="82"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(1 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(3 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Amortization and depreciation of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(6,019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(3,728</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(231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(3,451 </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(13,432</w:t>
            </w:r>
          </w:p>
        </w:tc>
        <w:tc>
          <w:tcPr>
            <w:tcW w:w="82" w:type="dxa"/>
            <w:tcBorders/>
            <w:shd w:fill="CCEEFF" w:val="clear"/>
            <w:tcMar>
              <w:bottom w:w="0" w:type="dxa"/>
            </w:tcMar>
            <w:vAlign w:val="center"/>
          </w:tcPr>
          <w:p>
            <w:pPr>
              <w:pStyle w:val="TableContents"/>
              <w:bidi w:val="0"/>
              <w:spacing w:before="0" w:after="283"/>
              <w:ind w:left="0" w:right="0" w:hanging="200"/>
              <w:jc w:val="left"/>
              <w:rPr>
                <w:b/>
              </w:rPr>
            </w:pPr>
            <w:r>
              <w:rPr>
                <w:b/>
              </w:rPr>
              <w:t>)</w:t>
            </w:r>
          </w:p>
        </w:tc>
      </w:tr>
      <w:tr>
        <w:trPr/>
        <w:tc>
          <w:tcPr>
            <w:tcW w:w="23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Net property, plant and equipment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9,696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16,177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586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590 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1,069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28,119</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Increase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(913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(978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(67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(338 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1,449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(846</w:t>
            </w:r>
          </w:p>
        </w:tc>
        <w:tc>
          <w:tcPr>
            <w:tcW w:w="82"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2368" w:type="dxa"/>
            <w:tcBorders/>
            <w:shd w:fill="CCEEFF" w:val="clear"/>
            <w:tcMar>
              <w:bottom w:w="0" w:type="dxa"/>
            </w:tcMar>
            <w:vAlign w:val="center"/>
          </w:tcPr>
          <w:p>
            <w:pPr>
              <w:pStyle w:val="TableContents"/>
              <w:bidi w:val="0"/>
              <w:spacing w:before="0" w:after="283"/>
              <w:jc w:val="left"/>
              <w:rPr/>
            </w:pPr>
            <w:r>
              <w:rPr/>
              <w:t>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23"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734"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1013" w:type="dxa"/>
            <w:tcBorders/>
            <w:shd w:fill="FFFFFF" w:val="clear"/>
            <w:tcMar>
              <w:bottom w:w="0" w:type="dxa"/>
            </w:tcMar>
            <w:vAlign w:val="center"/>
          </w:tcPr>
          <w:p>
            <w:pPr>
              <w:pStyle w:val="TableContents"/>
              <w:bidi w:val="0"/>
              <w:spacing w:before="0" w:after="283"/>
              <w:jc w:val="right"/>
              <w:rPr/>
            </w:pPr>
            <w:r>
              <w:rPr/>
              <w:t>63 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2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7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0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1017" w:type="dxa"/>
            <w:tcBorders>
              <w:bottom w:val="single" w:sz="12" w:space="0" w:color="000000"/>
            </w:tcBorders>
            <w:shd w:fill="FFFFFF" w:val="clear"/>
            <w:vAlign w:val="center"/>
          </w:tcPr>
          <w:p>
            <w:pPr>
              <w:pStyle w:val="TableContents"/>
              <w:bidi w:val="0"/>
              <w:spacing w:before="0" w:after="283"/>
              <w:jc w:val="right"/>
              <w:rPr/>
            </w:pPr>
            <w:r>
              <w:rPr/>
              <w:t>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FFFFFF" w:val="clear"/>
            <w:vAlign w:val="center"/>
          </w:tcPr>
          <w:p>
            <w:pPr>
              <w:pStyle w:val="TableContents"/>
              <w:bidi w:val="0"/>
              <w:spacing w:before="0" w:after="283"/>
              <w:jc w:val="left"/>
              <w:rPr/>
            </w:pPr>
            <w:r>
              <w:rPr/>
              <w:t> </w:t>
            </w:r>
          </w:p>
        </w:tc>
        <w:tc>
          <w:tcPr>
            <w:tcW w:w="823" w:type="dxa"/>
            <w:tcBorders>
              <w:bottom w:val="single" w:sz="12" w:space="0" w:color="000000"/>
            </w:tcBorders>
            <w:shd w:fill="FFFFFF" w:val="clear"/>
            <w:vAlign w:val="center"/>
          </w:tcPr>
          <w:p>
            <w:pPr>
              <w:pStyle w:val="TableContents"/>
              <w:bidi w:val="0"/>
              <w:spacing w:before="0" w:after="283"/>
              <w:jc w:val="right"/>
              <w:rPr/>
            </w:pPr>
            <w:r>
              <w:rPr/>
              <w:t>(41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73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 </w:t>
            </w:r>
          </w:p>
        </w:tc>
        <w:tc>
          <w:tcPr>
            <w:tcW w:w="95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1013" w:type="dxa"/>
            <w:tcBorders>
              <w:bottom w:val="single" w:sz="12" w:space="0" w:color="000000"/>
            </w:tcBorders>
            <w:shd w:fill="FFFFFF" w:val="clear"/>
            <w:vAlign w:val="center"/>
          </w:tcPr>
          <w:p>
            <w:pPr>
              <w:pStyle w:val="TableContents"/>
              <w:bidi w:val="0"/>
              <w:spacing w:before="0" w:after="283"/>
              <w:jc w:val="right"/>
              <w:rPr>
                <w:sz w:val="20"/>
              </w:rPr>
            </w:pPr>
            <w:r>
              <w:rPr>
                <w:sz w:val="20"/>
              </w:rPr>
              <w:t xml:space="preserve">2,992 </w:t>
            </w:r>
            <w:r>
              <w:rPr>
                <w:position w:val="7"/>
                <w:sz w:val="16"/>
                <w:sz w:val="20"/>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31" w:type="dxa"/>
            <w:tcBorders>
              <w:bottom w:val="single" w:sz="12" w:space="0" w:color="000000"/>
            </w:tcBorders>
            <w:shd w:fill="FFFFFF" w:val="clear"/>
            <w:vAlign w:val="center"/>
          </w:tcPr>
          <w:p>
            <w:pPr>
              <w:pStyle w:val="TableContents"/>
              <w:bidi w:val="0"/>
              <w:spacing w:before="0" w:after="283"/>
              <w:jc w:val="right"/>
              <w:rPr/>
            </w:pPr>
            <w:r>
              <w:rPr/>
              <w:t>(191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3,033</w:t>
            </w:r>
          </w:p>
        </w:tc>
        <w:tc>
          <w:tcPr>
            <w:tcW w:w="82"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2368" w:type="dxa"/>
            <w:tcBorders/>
            <w:shd w:fill="CCEEFF" w:val="clear"/>
            <w:tcMar>
              <w:bottom w:w="0" w:type="dxa"/>
            </w:tcMar>
            <w:vAlign w:val="center"/>
          </w:tcPr>
          <w:p>
            <w:pPr>
              <w:pStyle w:val="TableContents"/>
              <w:bidi w:val="0"/>
              <w:spacing w:before="0" w:after="283"/>
              <w:jc w:val="left"/>
              <w:rPr>
                <w:b/>
              </w:rPr>
            </w:pPr>
            <w:r>
              <w:rPr>
                <w:b/>
              </w:rPr>
              <w:t>Net property, plant and equipment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1017" w:type="dxa"/>
            <w:tcBorders>
              <w:bottom w:val="single" w:sz="12" w:space="0" w:color="000000"/>
            </w:tcBorders>
            <w:shd w:fill="CCEEFF" w:val="clear"/>
            <w:vAlign w:val="center"/>
          </w:tcPr>
          <w:p>
            <w:pPr>
              <w:pStyle w:val="TableContents"/>
              <w:bidi w:val="0"/>
              <w:spacing w:before="0" w:after="283"/>
              <w:jc w:val="right"/>
              <w:rPr>
                <w:b/>
              </w:rPr>
            </w:pPr>
            <w:r>
              <w:rPr>
                <w:b/>
              </w:rPr>
              <w:t>9,051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823" w:type="dxa"/>
            <w:tcBorders>
              <w:bottom w:val="single" w:sz="12" w:space="0" w:color="000000"/>
            </w:tcBorders>
            <w:shd w:fill="CCEEFF" w:val="clear"/>
            <w:vAlign w:val="center"/>
          </w:tcPr>
          <w:p>
            <w:pPr>
              <w:pStyle w:val="TableContents"/>
              <w:bidi w:val="0"/>
              <w:spacing w:before="0" w:after="283"/>
              <w:jc w:val="right"/>
              <w:rPr>
                <w:b/>
              </w:rPr>
            </w:pPr>
            <w:r>
              <w:rPr>
                <w:b/>
              </w:rPr>
              <w:t>15,142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CCEEFF" w:val="clear"/>
            <w:vAlign w:val="center"/>
          </w:tcPr>
          <w:p>
            <w:pPr>
              <w:pStyle w:val="TableContents"/>
              <w:bidi w:val="0"/>
              <w:spacing w:before="0" w:after="283"/>
              <w:jc w:val="left"/>
              <w:rPr/>
            </w:pPr>
            <w:r>
              <w:rPr/>
              <w:t> </w:t>
            </w:r>
          </w:p>
        </w:tc>
        <w:tc>
          <w:tcPr>
            <w:tcW w:w="734" w:type="dxa"/>
            <w:tcBorders>
              <w:bottom w:val="single" w:sz="12" w:space="0" w:color="000000"/>
            </w:tcBorders>
            <w:shd w:fill="CCEEFF" w:val="clear"/>
            <w:vAlign w:val="center"/>
          </w:tcPr>
          <w:p>
            <w:pPr>
              <w:pStyle w:val="TableContents"/>
              <w:bidi w:val="0"/>
              <w:spacing w:before="0" w:after="283"/>
              <w:jc w:val="right"/>
              <w:rPr>
                <w:b/>
              </w:rPr>
            </w:pPr>
            <w:r>
              <w:rPr>
                <w:b/>
              </w:rPr>
              <w:t>519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95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CCEEFF" w:val="clear"/>
            <w:vAlign w:val="center"/>
          </w:tcPr>
          <w:p>
            <w:pPr>
              <w:pStyle w:val="TableContents"/>
              <w:bidi w:val="0"/>
              <w:spacing w:before="0" w:after="283"/>
              <w:jc w:val="left"/>
              <w:rPr/>
            </w:pPr>
            <w:r>
              <w:rPr/>
              <w:t> </w:t>
            </w:r>
          </w:p>
        </w:tc>
        <w:tc>
          <w:tcPr>
            <w:tcW w:w="1013" w:type="dxa"/>
            <w:tcBorders>
              <w:bottom w:val="single" w:sz="12" w:space="0" w:color="000000"/>
            </w:tcBorders>
            <w:shd w:fill="CCEEFF" w:val="clear"/>
            <w:vAlign w:val="center"/>
          </w:tcPr>
          <w:p>
            <w:pPr>
              <w:pStyle w:val="TableContents"/>
              <w:bidi w:val="0"/>
              <w:spacing w:before="0" w:after="283"/>
              <w:jc w:val="right"/>
              <w:rPr>
                <w:b/>
              </w:rPr>
            </w:pPr>
            <w:r>
              <w:rPr>
                <w:b/>
              </w:rPr>
              <w:t>3,307 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CCEEFF" w:val="clear"/>
            <w:vAlign w:val="center"/>
          </w:tcPr>
          <w:p>
            <w:pPr>
              <w:pStyle w:val="TableContents"/>
              <w:bidi w:val="0"/>
              <w:spacing w:before="0" w:after="283"/>
              <w:jc w:val="left"/>
              <w:rPr/>
            </w:pPr>
            <w:r>
              <w:rPr/>
              <w:t> </w:t>
            </w:r>
          </w:p>
        </w:tc>
        <w:tc>
          <w:tcPr>
            <w:tcW w:w="831" w:type="dxa"/>
            <w:tcBorders>
              <w:bottom w:val="single" w:sz="12" w:space="0" w:color="000000"/>
            </w:tcBorders>
            <w:shd w:fill="CCEEFF" w:val="clear"/>
            <w:vAlign w:val="center"/>
          </w:tcPr>
          <w:p>
            <w:pPr>
              <w:pStyle w:val="TableContents"/>
              <w:bidi w:val="0"/>
              <w:spacing w:before="0" w:after="283"/>
              <w:jc w:val="right"/>
              <w:rPr>
                <w:b/>
              </w:rPr>
            </w:pPr>
            <w:r>
              <w:rPr>
                <w:b/>
              </w:rPr>
              <w:t>2,327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b/>
              </w:rPr>
            </w:pPr>
            <w:r>
              <w:rPr>
                <w:b/>
              </w:rPr>
              <w:t>30,346</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The reclassification mainly relates to the commissioning of the QPU under the Saudi Aramco contract in May 2026. As of December 31, 2025, €2,578 thousand relating to this contract were classified as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indications of impairment of property, plant &amp; equipment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Current assets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9390" w:type="dxa"/>
        <w:jc w:val="left"/>
        <w:tblInd w:w="0" w:type="dxa"/>
        <w:tblLayout w:type="fixed"/>
        <w:tblCellMar>
          <w:top w:w="0" w:type="dxa"/>
          <w:left w:w="0" w:type="dxa"/>
          <w:bottom w:w="0" w:type="dxa"/>
          <w:right w:w="0" w:type="dxa"/>
        </w:tblCellMar>
      </w:tblPr>
      <w:tblGrid>
        <w:gridCol w:w="3155"/>
        <w:gridCol w:w="60"/>
        <w:gridCol w:w="60"/>
        <w:gridCol w:w="680"/>
        <w:gridCol w:w="60"/>
        <w:gridCol w:w="60"/>
        <w:gridCol w:w="143"/>
        <w:gridCol w:w="1092"/>
        <w:gridCol w:w="95"/>
        <w:gridCol w:w="60"/>
        <w:gridCol w:w="60"/>
        <w:gridCol w:w="680"/>
        <w:gridCol w:w="60"/>
        <w:gridCol w:w="60"/>
        <w:gridCol w:w="60"/>
        <w:gridCol w:w="680"/>
        <w:gridCol w:w="60"/>
        <w:gridCol w:w="60"/>
        <w:gridCol w:w="106"/>
        <w:gridCol w:w="1129"/>
        <w:gridCol w:w="95"/>
        <w:gridCol w:w="60"/>
        <w:gridCol w:w="60"/>
        <w:gridCol w:w="680"/>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155"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Raw materials and other supplies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6,166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Work in progress - goods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FFFFFF" w:val="clear"/>
            <w:tcMar>
              <w:bottom w:w="28" w:type="dxa"/>
            </w:tcM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(1,552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5,142</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contract with Québec Inc., a subsidiary of DistriQ, Pasqal recognized an impairment of work in progress amounting to €1,552 thousand as of December 31, 2025 due to expected future costs to fulfill its obligations. As of June 30, 2026, management reassessed the net realizable value of the related work in progress and recognized a reversal of impairment of €1,231 thousand as such costs had substantially been incurred through June 30, 2026, resulting in an impairment balance of €321 thousand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impairment of inventory was recognized for the period ended June 30, 2026. Management believes that the impairment risk of the components in inventory is low, given the projected revenue for 2026 and the order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Cash and cash equivalents</w:t>
      </w:r>
    </w:p>
    <w:p>
      <w:pPr>
        <w:pStyle w:val="TextBody"/>
        <w:bidi w:val="0"/>
        <w:spacing w:before="0" w:after="0"/>
        <w:ind w:left="0" w:right="0" w:hanging="0"/>
        <w:jc w:val="left"/>
        <w:rPr>
          <w:caps w:val="false"/>
          <w:smallCaps w:val="false"/>
        </w:rPr>
      </w:pPr>
      <w:r>
        <w:rPr>
          <w:caps w:val="false"/>
          <w:smallCaps w:val="false"/>
        </w:rPr>
        <w:t> </w:t>
      </w:r>
    </w:p>
    <w:tbl>
      <w:tblPr>
        <w:tblW w:w="5128" w:type="dxa"/>
        <w:jc w:val="left"/>
        <w:tblInd w:w="0" w:type="dxa"/>
        <w:tblLayout w:type="fixed"/>
        <w:tblCellMar>
          <w:top w:w="0" w:type="dxa"/>
          <w:left w:w="0" w:type="dxa"/>
          <w:bottom w:w="28" w:type="dxa"/>
          <w:right w:w="0" w:type="dxa"/>
        </w:tblCellMar>
      </w:tblPr>
      <w:tblGrid>
        <w:gridCol w:w="2525"/>
        <w:gridCol w:w="60"/>
        <w:gridCol w:w="61"/>
        <w:gridCol w:w="813"/>
        <w:gridCol w:w="60"/>
        <w:gridCol w:w="60"/>
        <w:gridCol w:w="118"/>
        <w:gridCol w:w="1356"/>
        <w:gridCol w:w="75"/>
      </w:tblGrid>
      <w:tr>
        <w:trPr/>
        <w:tc>
          <w:tcPr>
            <w:tcW w:w="2525" w:type="dxa"/>
            <w:tcBorders>
              <w:bottom w:val="single" w:sz="12" w:space="0" w:color="000000"/>
            </w:tcBorders>
            <w:vAlign w:val="center"/>
          </w:tcPr>
          <w:p>
            <w:pPr>
              <w:pStyle w:val="TableContents"/>
              <w:bidi w:val="0"/>
              <w:spacing w:before="0" w:after="283"/>
              <w:jc w:val="left"/>
              <w:rPr>
                <w:b/>
                <w:i w:val="false"/>
                <w:caps w:val="false"/>
                <w:smallCaps w:val="false"/>
              </w:rPr>
            </w:pPr>
            <w:r>
              <w:rPr>
                <w:b/>
                <w:i w:val="false"/>
                <w:caps w:val="false"/>
                <w:smallCaps w:val="false"/>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shd w:fill="FFFFFF" w:val="clear"/>
            <w:tcMar>
              <w:bottom w:w="0" w:type="dxa"/>
            </w:tcMar>
            <w:vAlign w:val="center"/>
          </w:tcPr>
          <w:p>
            <w:pPr>
              <w:pStyle w:val="TableContents"/>
              <w:bidi w:val="0"/>
              <w:spacing w:before="0" w:after="283"/>
              <w:jc w:val="left"/>
              <w:rPr/>
            </w:pPr>
            <w:r>
              <w:rPr/>
              <w:t>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110,835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73,736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110,835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73,762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at bank and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and cash equivalents include amounts received by the Group in connection with the Korean grant agreement and the IFA loan for €2,716 thousand and €4,637 thousand, respectively (compared to €2,832 thousand and €4,737 thousand as of December 31, 2025, respectively). Although these funds are contractually restricted to eligible expenditures and subject to reporting requirements, such restrictions do not affect the classification of the bank balance as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and cash equivalents approximates their fair value due to their short-term nature. For information on the Group’s financial instruments measured at fair value, refer to Note 9.1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Consolidated Shareholders’ Equity</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8.1. Issued share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Description of issued share capital</w:t>
      </w:r>
    </w:p>
    <w:p>
      <w:pPr>
        <w:pStyle w:val="TextBody"/>
        <w:bidi w:val="0"/>
        <w:spacing w:before="0" w:after="0"/>
        <w:ind w:left="0" w:right="0" w:hanging="0"/>
        <w:jc w:val="left"/>
        <w:rPr>
          <w:caps w:val="false"/>
          <w:smallCaps w:val="false"/>
        </w:rPr>
      </w:pPr>
      <w:r>
        <w:rPr>
          <w:caps w:val="false"/>
          <w:smallCaps w:val="false"/>
        </w:rPr>
        <w:t> </w:t>
      </w:r>
    </w:p>
    <w:tbl>
      <w:tblPr>
        <w:tblW w:w="5144" w:type="dxa"/>
        <w:jc w:val="left"/>
        <w:tblInd w:w="0" w:type="dxa"/>
        <w:tblLayout w:type="fixed"/>
        <w:tblCellMar>
          <w:top w:w="0" w:type="dxa"/>
          <w:left w:w="0" w:type="dxa"/>
          <w:bottom w:w="28" w:type="dxa"/>
          <w:right w:w="0" w:type="dxa"/>
        </w:tblCellMar>
      </w:tblPr>
      <w:tblGrid>
        <w:gridCol w:w="2375"/>
        <w:gridCol w:w="60"/>
        <w:gridCol w:w="60"/>
        <w:gridCol w:w="980"/>
        <w:gridCol w:w="60"/>
        <w:gridCol w:w="60"/>
        <w:gridCol w:w="83"/>
        <w:gridCol w:w="1391"/>
        <w:gridCol w:w="75"/>
      </w:tblGrid>
      <w:tr>
        <w:trPr/>
        <w:tc>
          <w:tcPr>
            <w:tcW w:w="237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b/>
              </w:rPr>
            </w:pPr>
            <w:r>
              <w:rPr>
                <w:b/>
              </w:rPr>
              <w:t>Number of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8,678,864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12" w:space="0" w:color="000000"/>
            </w:tcBorders>
            <w:shd w:fill="CCEEFF" w:val="clear"/>
            <w:vAlign w:val="center"/>
          </w:tcPr>
          <w:p>
            <w:pPr>
              <w:pStyle w:val="TableContents"/>
              <w:bidi w:val="0"/>
              <w:spacing w:before="0" w:after="283"/>
              <w:jc w:val="left"/>
              <w:rPr/>
            </w:pPr>
            <w:r>
              <w:rPr/>
              <w:t> </w:t>
            </w:r>
          </w:p>
        </w:tc>
        <w:tc>
          <w:tcPr>
            <w:tcW w:w="1391" w:type="dxa"/>
            <w:tcBorders>
              <w:bottom w:val="single" w:sz="12" w:space="0" w:color="000000"/>
            </w:tcBorders>
            <w:shd w:fill="CCEEFF" w:val="clear"/>
            <w:vAlign w:val="center"/>
          </w:tcPr>
          <w:p>
            <w:pPr>
              <w:pStyle w:val="TableContents"/>
              <w:bidi w:val="0"/>
              <w:spacing w:before="0" w:after="283"/>
              <w:jc w:val="right"/>
              <w:rPr>
                <w:b/>
              </w:rPr>
            </w:pPr>
            <w:r>
              <w:rPr>
                <w:b/>
              </w:rPr>
              <w:t>7,148,772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left"/>
              <w:rPr/>
            </w:pPr>
            <w:r>
              <w:rPr/>
              <w:t>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91" w:type="dxa"/>
            <w:tcBorders/>
            <w:shd w:fill="FFFFFF" w:val="clear"/>
            <w:tcMar>
              <w:bottom w:w="0" w:type="dxa"/>
            </w:tcMar>
            <w:vAlign w:val="center"/>
          </w:tcPr>
          <w:p>
            <w:pPr>
              <w:pStyle w:val="TableContents"/>
              <w:bidi w:val="0"/>
              <w:spacing w:before="0" w:after="283"/>
              <w:jc w:val="right"/>
              <w:rPr/>
            </w:pPr>
            <w:r>
              <w:rPr/>
              <w:t>0,10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b/>
              </w:rPr>
            </w:pPr>
            <w:r>
              <w:rPr>
                <w:b/>
              </w:rPr>
              <w:t>Paid-in capital in euros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868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12" w:space="0" w:color="000000"/>
            </w:tcBorders>
            <w:shd w:fill="CCEEFF" w:val="clear"/>
            <w:vAlign w:val="center"/>
          </w:tcPr>
          <w:p>
            <w:pPr>
              <w:pStyle w:val="TableContents"/>
              <w:bidi w:val="0"/>
              <w:spacing w:before="0" w:after="283"/>
              <w:jc w:val="left"/>
              <w:rPr/>
            </w:pPr>
            <w:r>
              <w:rPr/>
              <w:t> </w:t>
            </w:r>
          </w:p>
        </w:tc>
        <w:tc>
          <w:tcPr>
            <w:tcW w:w="1391" w:type="dxa"/>
            <w:tcBorders>
              <w:bottom w:val="single" w:sz="12" w:space="0" w:color="000000"/>
            </w:tcBorders>
            <w:shd w:fill="CCEEFF" w:val="clear"/>
            <w:vAlign w:val="center"/>
          </w:tcPr>
          <w:p>
            <w:pPr>
              <w:pStyle w:val="TableContents"/>
              <w:bidi w:val="0"/>
              <w:spacing w:before="0" w:after="283"/>
              <w:jc w:val="right"/>
              <w:rPr>
                <w:b/>
              </w:rPr>
            </w:pPr>
            <w:r>
              <w:rPr>
                <w:b/>
              </w:rPr>
              <w:t>715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share capital amounted to €868 thousand, divided into 8,678,864 common shares with a par value of €0.10 each. Share premiums amounted to €211,131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the Group issued 499,769 Series C Shares through several capital increases in exchange for cash resulting in a total increase of €69,738 thousand, of which €50 thousand in share capital and €69,688 thousand in share premium. See Note 2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June 30, 2026, including the expected progression of the contemplated business combination, the fair value of the BSA Ratchet warrants was determined to be immaterial. Accordingly, the proceeds received from the Series C Financing were allocated entirely to the Series C Shares issued. Subsequent to June 30, 2026, and following the completion of the Business Combination, all outstanding BSA Ratchet warrants expired in accordance with their contractual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 for a total amount of €95,230 thousand, of which €68 thousand in share capital, €73,154 thousand in share premium, and the remaining amount in reserves. See Note 9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holders of BSPCEs exercised a total of 347,875 BSPCEs, resulting in the issuance of an equivalent number of ordinary shares. These exercises increased the Company’s share capital by €35 thousand and share premium by €100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increase costs directly attributed to these transactions amounted to €1,969 thousand and were recognized as a deduction from share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rights attached to the different classes of shares are as follows:</w:t>
      </w:r>
    </w:p>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23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415" w:type="dxa"/>
            <w:tcBorders/>
            <w:vAlign w:val="center"/>
          </w:tcPr>
          <w:p>
            <w:pPr>
              <w:pStyle w:val="TableContents"/>
              <w:bidi w:val="0"/>
              <w:spacing w:before="0" w:after="283"/>
              <w:jc w:val="both"/>
              <w:rPr/>
            </w:pPr>
            <w:r>
              <w:rPr/>
              <w:t>Equal rights to normal dividend distributions with other ordinary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left"/>
              <w:rPr/>
            </w:pPr>
            <w:r>
              <w:rPr/>
              <w:t>Priority rights that breakdown by class of common shares as described below (in the event of a sale at a price per Share inferior to the Series C Share Subscription Price):</w:t>
            </w:r>
          </w:p>
        </w:tc>
      </w:tr>
    </w:tbl>
    <w:p>
      <w:pPr>
        <w:pStyle w:val="TextBody"/>
        <w:bidi w:val="0"/>
        <w:spacing w:before="0" w:after="0"/>
        <w:ind w:left="720" w:right="0" w:hanging="36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pPr>
            <w:r>
              <w:rPr/>
              <w:t>Series A, B and 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1241"/>
        <w:gridCol w:w="8687"/>
      </w:tblGrid>
      <w:tr>
        <w:trPr/>
        <w:tc>
          <w:tcPr>
            <w:tcW w:w="27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w:t>
            </w:r>
          </w:p>
        </w:tc>
        <w:tc>
          <w:tcPr>
            <w:tcW w:w="8687" w:type="dxa"/>
            <w:tcBorders/>
            <w:vAlign w:val="center"/>
          </w:tcPr>
          <w:p>
            <w:pPr>
              <w:pStyle w:val="TableContents"/>
              <w:bidi w:val="0"/>
              <w:spacing w:before="0" w:after="283"/>
              <w:jc w:val="left"/>
              <w:rPr/>
            </w:pPr>
            <w:r>
              <w:rPr/>
              <w:t>Seed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750"/>
        <w:gridCol w:w="9288"/>
      </w:tblGrid>
      <w:tr>
        <w:trPr/>
        <w:tc>
          <w:tcPr>
            <w:tcW w:w="16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w:t>
            </w:r>
          </w:p>
        </w:tc>
        <w:tc>
          <w:tcPr>
            <w:tcW w:w="9288" w:type="dxa"/>
            <w:tcBorders/>
            <w:vAlign w:val="center"/>
          </w:tcPr>
          <w:p>
            <w:pPr>
              <w:pStyle w:val="TableContents"/>
              <w:bidi w:val="0"/>
              <w:spacing w:before="0" w:after="283"/>
              <w:jc w:val="left"/>
              <w:rPr/>
            </w:pPr>
            <w:r>
              <w:rPr/>
              <w:t>Other common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w:t>
            </w:r>
          </w:p>
        </w:tc>
        <w:tc>
          <w:tcPr>
            <w:tcW w:w="9536" w:type="dxa"/>
            <w:tcBorders/>
            <w:vAlign w:val="center"/>
          </w:tcPr>
          <w:p>
            <w:pPr>
              <w:pStyle w:val="TableContents"/>
              <w:bidi w:val="0"/>
              <w:spacing w:before="0" w:after="283"/>
              <w:jc w:val="left"/>
              <w:rPr/>
            </w:pPr>
            <w:r>
              <w:rPr/>
              <w:t>Conversion of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Shares, Series B Shares and Series C Shares may be converted into common shares upon the occurrence of specific trigger events, notably an initial public offering. In particular, all preferred shares are automatically converted into common shares in the event of an IPO meeting predefined conditions, based on a 1:1 conversion ratio, subject to customary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283"/>
              <w:jc w:val="left"/>
              <w:rPr/>
            </w:pPr>
            <w:r>
              <w:rPr/>
              <w:t>In the event of a sale with a price per share higher than such subscription price, the price shall be distributed among the selling Shareholders in proportion to the share capital of the Company on an as-converted to common shares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Distribution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distributed any dividend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8.2. Other reserves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other reserves amounted to €95,500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8.3 for further disclosures of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minority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 Warrants and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Founder Share Subscription Warrants (“BSPCE”)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share options is measured at the grant date using a Monte-Carlo simulation model, taking into account the terms and conditions under which the options are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BSPCE plans allocated in previous financial years 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68"/>
        <w:gridCol w:w="60"/>
        <w:gridCol w:w="60"/>
        <w:gridCol w:w="994"/>
        <w:gridCol w:w="60"/>
        <w:gridCol w:w="60"/>
        <w:gridCol w:w="85"/>
        <w:gridCol w:w="1140"/>
        <w:gridCol w:w="60"/>
        <w:gridCol w:w="60"/>
        <w:gridCol w:w="85"/>
        <w:gridCol w:w="1140"/>
        <w:gridCol w:w="60"/>
        <w:gridCol w:w="60"/>
        <w:gridCol w:w="67"/>
        <w:gridCol w:w="901"/>
        <w:gridCol w:w="60"/>
        <w:gridCol w:w="60"/>
        <w:gridCol w:w="61"/>
        <w:gridCol w:w="820"/>
        <w:gridCol w:w="60"/>
        <w:gridCol w:w="60"/>
        <w:gridCol w:w="70"/>
        <w:gridCol w:w="1150"/>
        <w:gridCol w:w="60"/>
        <w:gridCol w:w="60"/>
        <w:gridCol w:w="176"/>
        <w:gridCol w:w="705"/>
        <w:gridCol w:w="60"/>
        <w:gridCol w:w="60"/>
        <w:gridCol w:w="60"/>
        <w:gridCol w:w="740"/>
        <w:gridCol w:w="83"/>
      </w:tblGrid>
      <w:tr>
        <w:trPr/>
        <w:tc>
          <w:tcPr>
            <w:tcW w:w="968" w:type="dxa"/>
            <w:tcBorders>
              <w:bottom w:val="single" w:sz="12" w:space="0" w:color="000000"/>
            </w:tcBorders>
            <w:vAlign w:val="center"/>
          </w:tcPr>
          <w:p>
            <w:pPr>
              <w:pStyle w:val="TableContents"/>
              <w:bidi w:val="0"/>
              <w:spacing w:before="0" w:after="283"/>
              <w:ind w:left="0" w:right="0" w:hanging="200"/>
              <w:jc w:val="left"/>
              <w:rPr>
                <w:b/>
              </w:rPr>
            </w:pPr>
            <w:r>
              <w:rPr>
                <w:b/>
              </w:rPr>
              <w:t>Plan</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BSPCE </w:t>
              <w:br/>
              <w:t>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5" w:type="dxa"/>
            <w:gridSpan w:val="2"/>
            <w:tcBorders>
              <w:bottom w:val="single" w:sz="12" w:space="0" w:color="000000"/>
            </w:tcBorders>
            <w:vAlign w:val="center"/>
          </w:tcPr>
          <w:p>
            <w:pPr>
              <w:pStyle w:val="TableContents"/>
              <w:bidi w:val="0"/>
              <w:spacing w:before="0" w:after="283"/>
              <w:jc w:val="center"/>
              <w:rPr>
                <w:b/>
              </w:rPr>
            </w:pPr>
            <w:r>
              <w:rPr>
                <w:b/>
              </w:rPr>
              <w:t>Number of</w:t>
              <w:br/>
              <w:t xml:space="preserve">instruments </w:t>
              <w:br/>
              <w:t>to be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8" w:type="dxa"/>
            <w:gridSpan w:val="2"/>
            <w:tcBorders>
              <w:bottom w:val="single" w:sz="12" w:space="0" w:color="000000"/>
            </w:tcBorders>
            <w:vAlign w:val="center"/>
          </w:tcPr>
          <w:p>
            <w:pPr>
              <w:pStyle w:val="TableContents"/>
              <w:bidi w:val="0"/>
              <w:spacing w:before="0" w:after="283"/>
              <w:jc w:val="center"/>
              <w:rPr>
                <w:b/>
              </w:rPr>
            </w:pPr>
            <w:r>
              <w:rPr>
                <w:b/>
              </w:rPr>
              <w:t>Number</w:t>
              <w:br/>
              <w:t xml:space="preserve">of BSPCE </w:t>
              <w:br/>
              <w:t>cancelled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gridSpan w:val="2"/>
            <w:tcBorders>
              <w:bottom w:val="single" w:sz="12" w:space="0" w:color="000000"/>
            </w:tcBorders>
            <w:vAlign w:val="center"/>
          </w:tcPr>
          <w:p>
            <w:pPr>
              <w:pStyle w:val="TableContents"/>
              <w:bidi w:val="0"/>
              <w:spacing w:before="0" w:after="283"/>
              <w:jc w:val="center"/>
              <w:rPr>
                <w:b/>
                <w:sz w:val="20"/>
              </w:rPr>
            </w:pPr>
            <w:r>
              <w:rPr>
                <w:b/>
                <w:sz w:val="20"/>
              </w:rPr>
              <w:t xml:space="preserve">Number </w:t>
              <w:br/>
              <w:t xml:space="preserve">of BSPCE </w:t>
              <w:br/>
              <w:t xml:space="preserve">exercised </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BSPCE </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1"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 xml:space="preserve">Vesting </w:t>
              <w:br/>
              <w:t>period</w:t>
            </w:r>
          </w:p>
        </w:tc>
        <w:tc>
          <w:tcPr>
            <w:tcW w:w="83" w:type="dxa"/>
            <w:tcBorders/>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04_2019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340,000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340,000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07_2019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04_2021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95,100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79,000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1,100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79,000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14.85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12_2021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69,700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19,800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9,500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40,369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29,300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32.22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12_2023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130,100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54,900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26,100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49,100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81,000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06_2024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63,386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31,242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25,019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7,050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56,261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10_2024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4,050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5,500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04_2025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92,400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23,074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69,226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92,300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10_2025 DG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286,920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121,152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165,768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286,920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BSPCE 10_2025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138,460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60,576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77,884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138,460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rPr>
            </w:pPr>
            <w:r>
              <w:rPr>
                <w:b/>
              </w:rPr>
              <w:t>BSPCE 11_2025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right"/>
              <w:rPr/>
            </w:pPr>
            <w:r>
              <w:rPr/>
              <w:t>68,700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3,975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0" w:type="dxa"/>
            <w:tcBorders/>
            <w:shd w:fill="CCEEFF" w:val="clear"/>
            <w:tcMar>
              <w:bottom w:w="0" w:type="dxa"/>
            </w:tcMar>
            <w:vAlign w:val="center"/>
          </w:tcPr>
          <w:p>
            <w:pPr>
              <w:pStyle w:val="TableContents"/>
              <w:bidi w:val="0"/>
              <w:spacing w:before="0" w:after="283"/>
              <w:jc w:val="right"/>
              <w:rPr/>
            </w:pPr>
            <w:r>
              <w:rPr/>
              <w:t>61,925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1" w:type="dxa"/>
            <w:tcBorders/>
            <w:shd w:fill="CCEEFF" w:val="clear"/>
            <w:tcMar>
              <w:bottom w:w="0" w:type="dxa"/>
            </w:tcMar>
            <w:vAlign w:val="center"/>
          </w:tcPr>
          <w:p>
            <w:pPr>
              <w:pStyle w:val="TableContents"/>
              <w:bidi w:val="0"/>
              <w:spacing w:before="0" w:after="283"/>
              <w:jc w:val="right"/>
              <w:rPr/>
            </w:pPr>
            <w:r>
              <w:rPr/>
              <w:t>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65,900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 years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sz w:val="20"/>
              </w:rPr>
            </w:pPr>
            <w:r>
              <w:rPr>
                <w:b/>
                <w:sz w:val="20"/>
              </w:rPr>
              <w:t xml:space="preserve">BSPCE 03_2026 </w:t>
            </w:r>
            <w:r>
              <w:rPr>
                <w:b/>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right"/>
              <w:rPr/>
            </w:pPr>
            <w:r>
              <w:rPr/>
              <w:t>72,492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36,246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0" w:type="dxa"/>
            <w:tcBorders/>
            <w:shd w:fill="FFFFFF" w:val="clear"/>
            <w:tcMar>
              <w:bottom w:w="0" w:type="dxa"/>
            </w:tcMar>
            <w:vAlign w:val="center"/>
          </w:tcPr>
          <w:p>
            <w:pPr>
              <w:pStyle w:val="TableContents"/>
              <w:bidi w:val="0"/>
              <w:spacing w:before="0" w:after="283"/>
              <w:jc w:val="right"/>
              <w:rPr/>
            </w:pPr>
            <w:r>
              <w:rPr/>
              <w:t>36,246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72,492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5"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CCEEFF" w:val="clear"/>
            <w:tcMar>
              <w:bottom w:w="0" w:type="dxa"/>
            </w:tcMar>
            <w:vAlign w:val="center"/>
          </w:tcPr>
          <w:p>
            <w:pPr>
              <w:pStyle w:val="TableContents"/>
              <w:bidi w:val="0"/>
              <w:spacing w:before="0" w:after="283"/>
              <w:jc w:val="left"/>
              <w:rPr>
                <w:b/>
                <w:sz w:val="20"/>
              </w:rPr>
            </w:pPr>
            <w:r>
              <w:rPr>
                <w:b/>
                <w:sz w:val="20"/>
              </w:rPr>
              <w:t xml:space="preserve">BSPCE 07_2026 </w:t>
            </w:r>
            <w:r>
              <w:rPr>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94" w:type="dxa"/>
            <w:tcBorders>
              <w:bottom w:val="single" w:sz="12" w:space="0" w:color="000000"/>
            </w:tcBorders>
            <w:shd w:fill="CCEEFF" w:val="clear"/>
            <w:vAlign w:val="center"/>
          </w:tcPr>
          <w:p>
            <w:pPr>
              <w:pStyle w:val="TableContents"/>
              <w:bidi w:val="0"/>
              <w:spacing w:before="0" w:after="283"/>
              <w:jc w:val="right"/>
              <w:rPr/>
            </w:pPr>
            <w:r>
              <w:rPr/>
              <w:t>500,388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0" w:type="dxa"/>
            <w:tcBorders>
              <w:bottom w:val="single" w:sz="12" w:space="0" w:color="000000"/>
            </w:tcBorders>
            <w:shd w:fill="CCEEFF" w:val="clear"/>
            <w:vAlign w:val="center"/>
          </w:tcPr>
          <w:p>
            <w:pPr>
              <w:pStyle w:val="TableContents"/>
              <w:bidi w:val="0"/>
              <w:spacing w:before="0" w:after="283"/>
              <w:jc w:val="right"/>
              <w:rPr/>
            </w:pPr>
            <w:r>
              <w:rPr/>
              <w:t>125,097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0" w:type="dxa"/>
            <w:tcBorders>
              <w:bottom w:val="single" w:sz="12" w:space="0" w:color="000000"/>
            </w:tcBorders>
            <w:shd w:fill="CCEEFF" w:val="clear"/>
            <w:vAlign w:val="center"/>
          </w:tcPr>
          <w:p>
            <w:pPr>
              <w:pStyle w:val="TableContents"/>
              <w:bidi w:val="0"/>
              <w:spacing w:before="0" w:after="283"/>
              <w:jc w:val="right"/>
              <w:rPr/>
            </w:pPr>
            <w:r>
              <w:rPr/>
              <w:t>375,291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20"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500,388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5"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0" w:type="dxa"/>
            <w:tcBorders/>
            <w:shd w:fill="CCEEFF" w:val="clear"/>
            <w:tcMar>
              <w:bottom w:w="0" w:type="dxa"/>
            </w:tcMar>
            <w:vAlign w:val="center"/>
          </w:tcPr>
          <w:p>
            <w:pPr>
              <w:pStyle w:val="TableContents"/>
              <w:bidi w:val="0"/>
              <w:spacing w:before="0" w:after="283"/>
              <w:jc w:val="center"/>
              <w:rPr>
                <w:sz w:val="20"/>
              </w:rPr>
            </w:pPr>
            <w:r>
              <w:rPr>
                <w:sz w:val="20"/>
              </w:rPr>
              <w:t>48 months</w:t>
            </w:r>
          </w:p>
        </w:tc>
        <w:tc>
          <w:tcPr>
            <w:tcW w:w="83"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968"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94" w:type="dxa"/>
            <w:tcBorders>
              <w:bottom w:val="single" w:sz="12" w:space="0" w:color="000000"/>
            </w:tcBorders>
            <w:shd w:fill="FFFFFF" w:val="clear"/>
            <w:vAlign w:val="center"/>
          </w:tcPr>
          <w:p>
            <w:pPr>
              <w:pStyle w:val="TableContents"/>
              <w:bidi w:val="0"/>
              <w:spacing w:before="0" w:after="283"/>
              <w:jc w:val="right"/>
              <w:rPr>
                <w:b/>
              </w:rPr>
            </w:pPr>
            <w:r>
              <w:rPr>
                <w:b/>
              </w:rPr>
              <w:t>1,893,146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0" w:type="dxa"/>
            <w:tcBorders>
              <w:bottom w:val="single" w:sz="12" w:space="0" w:color="000000"/>
            </w:tcBorders>
            <w:shd w:fill="FFFFFF" w:val="clear"/>
            <w:vAlign w:val="center"/>
          </w:tcPr>
          <w:p>
            <w:pPr>
              <w:pStyle w:val="TableContents"/>
              <w:bidi w:val="0"/>
              <w:spacing w:before="0" w:after="283"/>
              <w:jc w:val="right"/>
              <w:rPr>
                <w:b/>
              </w:rPr>
            </w:pPr>
            <w:r>
              <w:rPr>
                <w:b/>
              </w:rPr>
              <w:t>556,512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0" w:type="dxa"/>
            <w:tcBorders>
              <w:bottom w:val="single" w:sz="12" w:space="0" w:color="000000"/>
            </w:tcBorders>
            <w:shd w:fill="FFFFFF" w:val="clear"/>
            <w:vAlign w:val="center"/>
          </w:tcPr>
          <w:p>
            <w:pPr>
              <w:pStyle w:val="TableContents"/>
              <w:bidi w:val="0"/>
              <w:spacing w:before="0" w:after="283"/>
              <w:jc w:val="right"/>
              <w:rPr>
                <w:b/>
              </w:rPr>
            </w:pPr>
            <w:r>
              <w:rPr>
                <w:b/>
              </w:rPr>
              <w:t>851,009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FFFFFF" w:val="clear"/>
            <w:vAlign w:val="center"/>
          </w:tcPr>
          <w:p>
            <w:pPr>
              <w:pStyle w:val="TableContents"/>
              <w:bidi w:val="0"/>
              <w:spacing w:before="0" w:after="283"/>
              <w:jc w:val="left"/>
              <w:rPr/>
            </w:pPr>
            <w:r>
              <w:rPr/>
              <w:t> </w:t>
            </w:r>
          </w:p>
        </w:tc>
        <w:tc>
          <w:tcPr>
            <w:tcW w:w="901" w:type="dxa"/>
            <w:tcBorders>
              <w:bottom w:val="single" w:sz="12" w:space="0" w:color="000000"/>
            </w:tcBorders>
            <w:shd w:fill="FFFFFF" w:val="clear"/>
            <w:vAlign w:val="center"/>
          </w:tcPr>
          <w:p>
            <w:pPr>
              <w:pStyle w:val="TableContents"/>
              <w:bidi w:val="0"/>
              <w:spacing w:before="0" w:after="283"/>
              <w:jc w:val="right"/>
              <w:rPr>
                <w:b/>
              </w:rPr>
            </w:pPr>
            <w:r>
              <w:rPr>
                <w:b/>
              </w:rPr>
              <w:t>114,419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FFFFFF" w:val="clear"/>
            <w:vAlign w:val="center"/>
          </w:tcPr>
          <w:p>
            <w:pPr>
              <w:pStyle w:val="TableContents"/>
              <w:bidi w:val="0"/>
              <w:spacing w:before="0" w:after="283"/>
              <w:jc w:val="left"/>
              <w:rPr/>
            </w:pPr>
            <w:r>
              <w:rPr/>
              <w:t> </w:t>
            </w:r>
          </w:p>
        </w:tc>
        <w:tc>
          <w:tcPr>
            <w:tcW w:w="820" w:type="dxa"/>
            <w:tcBorders>
              <w:bottom w:val="single" w:sz="12" w:space="0" w:color="000000"/>
            </w:tcBorders>
            <w:shd w:fill="FFFFFF" w:val="clear"/>
            <w:vAlign w:val="center"/>
          </w:tcPr>
          <w:p>
            <w:pPr>
              <w:pStyle w:val="TableContents"/>
              <w:bidi w:val="0"/>
              <w:spacing w:before="0" w:after="283"/>
              <w:jc w:val="right"/>
              <w:rPr>
                <w:b/>
              </w:rPr>
            </w:pPr>
            <w:r>
              <w:rPr>
                <w:b/>
              </w:rPr>
              <w:t>371,206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150" w:type="dxa"/>
            <w:tcBorders>
              <w:bottom w:val="single" w:sz="12" w:space="0" w:color="000000"/>
            </w:tcBorders>
            <w:shd w:fill="FFFFFF" w:val="clear"/>
            <w:vAlign w:val="center"/>
          </w:tcPr>
          <w:p>
            <w:pPr>
              <w:pStyle w:val="TableContents"/>
              <w:bidi w:val="0"/>
              <w:spacing w:before="0" w:after="283"/>
              <w:jc w:val="right"/>
              <w:rPr>
                <w:b/>
              </w:rPr>
            </w:pPr>
            <w:r>
              <w:rPr>
                <w:b/>
              </w:rPr>
              <w:t>1,407,521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7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0" w:type="dxa"/>
            <w:tcBorders/>
            <w:shd w:fill="FFFFFF" w:val="clear"/>
            <w:tcMar>
              <w:bottom w:w="0" w:type="dxa"/>
            </w:tcMar>
            <w:vAlign w:val="center"/>
          </w:tcPr>
          <w:p>
            <w:pPr>
              <w:pStyle w:val="TableContents"/>
              <w:bidi w:val="0"/>
              <w:spacing w:before="0" w:after="283"/>
              <w:jc w:val="center"/>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left"/>
              <w:rPr/>
            </w:pPr>
            <w:r>
              <w:rPr/>
              <w:t>Of which 347,875 BSPCEs exercised during the first half of 2026. See Note 8.1 for further disclosures.</w:t>
            </w:r>
          </w:p>
        </w:tc>
      </w:tr>
      <w:tr>
        <w:trPr/>
        <w:tc>
          <w:tcPr>
            <w:tcW w:w="222" w:type="dxa"/>
            <w:tcBorders/>
            <w:vAlign w:val="center"/>
          </w:tcPr>
          <w:p>
            <w:pPr>
              <w:pStyle w:val="TableContents"/>
              <w:bidi w:val="0"/>
              <w:spacing w:before="0" w:after="283"/>
              <w:jc w:val="left"/>
              <w:rPr>
                <w:position w:val="8"/>
                <w:sz w:val="19"/>
              </w:rPr>
            </w:pPr>
            <w:r>
              <w:rPr>
                <w:position w:val="8"/>
                <w:sz w:val="19"/>
              </w:rPr>
              <w:t>(2)</w:t>
            </w:r>
          </w:p>
        </w:tc>
        <w:tc>
          <w:tcPr>
            <w:tcW w:w="9983" w:type="dxa"/>
            <w:tcBorders/>
            <w:vAlign w:val="center"/>
          </w:tcPr>
          <w:p>
            <w:pPr>
              <w:pStyle w:val="TableContents"/>
              <w:bidi w:val="0"/>
              <w:spacing w:before="0" w:after="283"/>
              <w:jc w:val="left"/>
              <w:rPr/>
            </w:pPr>
            <w:r>
              <w:rPr/>
              <w:t>BSPCE 03_2026 correspond to the increase in certain executives’ awards decided by the Remuneration Committee on March 12, 2026.</w:t>
            </w:r>
          </w:p>
        </w:tc>
      </w:tr>
      <w:tr>
        <w:trPr/>
        <w:tc>
          <w:tcPr>
            <w:tcW w:w="222" w:type="dxa"/>
            <w:tcBorders/>
            <w:vAlign w:val="center"/>
          </w:tcPr>
          <w:p>
            <w:pPr>
              <w:pStyle w:val="TableContents"/>
              <w:bidi w:val="0"/>
              <w:spacing w:before="0" w:after="283"/>
              <w:jc w:val="left"/>
              <w:rPr>
                <w:position w:val="8"/>
                <w:sz w:val="19"/>
              </w:rPr>
            </w:pPr>
            <w:r>
              <w:rPr>
                <w:position w:val="8"/>
                <w:sz w:val="19"/>
              </w:rPr>
              <w:t>(3)</w:t>
            </w:r>
          </w:p>
        </w:tc>
        <w:tc>
          <w:tcPr>
            <w:tcW w:w="9983" w:type="dxa"/>
            <w:tcBorders/>
            <w:vAlign w:val="center"/>
          </w:tcPr>
          <w:p>
            <w:pPr>
              <w:pStyle w:val="TableContents"/>
              <w:bidi w:val="0"/>
              <w:spacing w:before="0" w:after="283"/>
              <w:jc w:val="left"/>
              <w:rPr/>
            </w:pPr>
            <w:r>
              <w:rPr/>
              <w:t>BSPCE 07_2026 were granted to certain executives. In accordance with IFRS 2.IG4, a portion of the expense was recognized in H1 2026, reflecting services received from February 2026, although the grant was formally approved only on 28 July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BSPCE plans as equity-settled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Options</w:t>
      </w:r>
    </w:p>
    <w:p>
      <w:pPr>
        <w:pStyle w:val="TextBody"/>
        <w:bidi w:val="0"/>
        <w:spacing w:before="0" w:after="0"/>
        <w:ind w:left="0" w:right="0" w:hanging="0"/>
        <w:jc w:val="left"/>
        <w:rPr>
          <w:caps w:val="false"/>
          <w:smallCaps w:val="false"/>
        </w:rPr>
      </w:pPr>
      <w:r>
        <w:rPr>
          <w:caps w:val="false"/>
          <w:smallCaps w:val="false"/>
        </w:rPr>
        <w:t> </w:t>
      </w:r>
    </w:p>
    <w:tbl>
      <w:tblPr>
        <w:tblW w:w="9936" w:type="dxa"/>
        <w:jc w:val="left"/>
        <w:tblInd w:w="0" w:type="dxa"/>
        <w:tblLayout w:type="fixed"/>
        <w:tblCellMar>
          <w:top w:w="0" w:type="dxa"/>
          <w:left w:w="0" w:type="dxa"/>
          <w:bottom w:w="28" w:type="dxa"/>
          <w:right w:w="0" w:type="dxa"/>
        </w:tblCellMar>
      </w:tblPr>
      <w:tblGrid>
        <w:gridCol w:w="1325"/>
        <w:gridCol w:w="60"/>
        <w:gridCol w:w="1310"/>
        <w:gridCol w:w="60"/>
        <w:gridCol w:w="95"/>
        <w:gridCol w:w="1094"/>
        <w:gridCol w:w="60"/>
        <w:gridCol w:w="60"/>
        <w:gridCol w:w="156"/>
        <w:gridCol w:w="1033"/>
        <w:gridCol w:w="60"/>
        <w:gridCol w:w="60"/>
        <w:gridCol w:w="156"/>
        <w:gridCol w:w="1033"/>
        <w:gridCol w:w="60"/>
        <w:gridCol w:w="60"/>
        <w:gridCol w:w="98"/>
        <w:gridCol w:w="1122"/>
        <w:gridCol w:w="60"/>
        <w:gridCol w:w="60"/>
        <w:gridCol w:w="159"/>
        <w:gridCol w:w="775"/>
        <w:gridCol w:w="60"/>
        <w:gridCol w:w="60"/>
        <w:gridCol w:w="860"/>
      </w:tblGrid>
      <w:tr>
        <w:trPr/>
        <w:tc>
          <w:tcPr>
            <w:tcW w:w="1325" w:type="dxa"/>
            <w:tcBorders>
              <w:bottom w:val="single" w:sz="12" w:space="0" w:color="000000"/>
            </w:tcBorders>
            <w:vAlign w:val="center"/>
          </w:tcPr>
          <w:p>
            <w:pPr>
              <w:pStyle w:val="TableContents"/>
              <w:bidi w:val="0"/>
              <w:spacing w:before="0" w:after="283"/>
              <w:jc w:val="left"/>
              <w:rPr>
                <w:b/>
              </w:rPr>
            </w:pPr>
            <w:r>
              <w:rPr>
                <w:b/>
              </w:rPr>
              <w:t>Plan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 xml:space="preserve">Grant date </w:t>
              <w:br/>
              <w:t xml:space="preserve">by the </w:t>
              <w:br/>
              <w:t>Chairman</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granted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cancelled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exercised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options </w:t>
              <w:br/>
              <w:t>outstanding</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283"/>
              <w:jc w:val="center"/>
              <w:rPr>
                <w:b/>
              </w:rPr>
            </w:pPr>
            <w:r>
              <w:rPr>
                <w:b/>
              </w:rPr>
              <w:t xml:space="preserve">Vesting </w:t>
              <w:br/>
              <w:t>Period</w:t>
            </w:r>
          </w:p>
        </w:tc>
      </w:tr>
      <w:tr>
        <w:trPr/>
        <w:tc>
          <w:tcPr>
            <w:tcW w:w="1325" w:type="dxa"/>
            <w:tcBorders>
              <w:bottom w:val="single" w:sz="12" w:space="0" w:color="000000"/>
            </w:tcBorders>
            <w:shd w:fill="CCEEFF" w:val="clear"/>
            <w:vAlign w:val="center"/>
          </w:tcPr>
          <w:p>
            <w:pPr>
              <w:pStyle w:val="TableContents"/>
              <w:bidi w:val="0"/>
              <w:spacing w:before="0" w:after="283"/>
              <w:jc w:val="left"/>
              <w:rPr/>
            </w:pPr>
            <w:r>
              <w:rPr/>
              <w:t>Options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vAlign w:val="center"/>
          </w:tcPr>
          <w:p>
            <w:pPr>
              <w:pStyle w:val="TableContents"/>
              <w:bidi w:val="0"/>
              <w:spacing w:before="0" w:after="283"/>
              <w:jc w:val="center"/>
              <w:rPr/>
            </w:pPr>
            <w:r>
              <w:rPr/>
              <w:t>July 29,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10,385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033" w:type="dxa"/>
            <w:tcBorders>
              <w:bottom w:val="single" w:sz="12" w:space="0" w:color="000000"/>
            </w:tcBorders>
            <w:shd w:fill="CCEEFF" w:val="cle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bottom w:val="single" w:sz="12" w:space="0" w:color="000000"/>
            </w:tcBorders>
            <w:shd w:fill="CCEEFF" w:val="clear"/>
            <w:vAlign w:val="center"/>
          </w:tcPr>
          <w:p>
            <w:pPr>
              <w:pStyle w:val="TableContents"/>
              <w:bidi w:val="0"/>
              <w:spacing w:before="0" w:after="283"/>
              <w:jc w:val="left"/>
              <w:rPr/>
            </w:pPr>
            <w:r>
              <w:rPr/>
              <w:t> </w:t>
            </w:r>
          </w:p>
        </w:tc>
        <w:tc>
          <w:tcPr>
            <w:tcW w:w="1033" w:type="dxa"/>
            <w:tcBorders>
              <w:bottom w:val="single" w:sz="12" w:space="0" w:color="000000"/>
            </w:tcBorders>
            <w:shd w:fill="CCEEFF" w:val="cle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122" w:type="dxa"/>
            <w:tcBorders>
              <w:bottom w:val="single" w:sz="12" w:space="0" w:color="000000"/>
            </w:tcBorders>
            <w:shd w:fill="CCEEFF" w:val="clear"/>
            <w:vAlign w:val="center"/>
          </w:tcPr>
          <w:p>
            <w:pPr>
              <w:pStyle w:val="TableContents"/>
              <w:bidi w:val="0"/>
              <w:spacing w:before="0" w:after="283"/>
              <w:jc w:val="right"/>
              <w:rPr/>
            </w:pPr>
            <w:r>
              <w:rPr/>
              <w:t>10,385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12" w:space="0" w:color="000000"/>
            </w:tcBorders>
            <w:shd w:fill="CCEEFF" w:val="clear"/>
            <w:vAlign w:val="center"/>
          </w:tcPr>
          <w:p>
            <w:pPr>
              <w:pStyle w:val="TableContents"/>
              <w:bidi w:val="0"/>
              <w:spacing w:before="0" w:after="283"/>
              <w:jc w:val="left"/>
              <w:rPr/>
            </w:pPr>
            <w:r>
              <w:rPr/>
              <w:t>€</w:t>
            </w:r>
          </w:p>
        </w:tc>
        <w:tc>
          <w:tcPr>
            <w:tcW w:w="775" w:type="dxa"/>
            <w:tcBorders>
              <w:bottom w:val="single" w:sz="12" w:space="0" w:color="000000"/>
            </w:tcBorders>
            <w:shd w:fill="CCEEFF" w:val="clear"/>
            <w:vAlign w:val="center"/>
          </w:tcPr>
          <w:p>
            <w:pPr>
              <w:pStyle w:val="TableContents"/>
              <w:bidi w:val="0"/>
              <w:spacing w:before="0" w:after="283"/>
              <w:jc w:val="right"/>
              <w:rPr/>
            </w:pPr>
            <w:r>
              <w:rPr/>
              <w:t>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pPr>
            <w:r>
              <w:rPr/>
              <w:t>2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are classified as equity-settled plans. The table below shows the outstanding options as of June 30, 2026:</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Financial liabilities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 Changes during the period in current and non-current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changes during the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45"/>
        <w:gridCol w:w="60"/>
        <w:gridCol w:w="196"/>
        <w:gridCol w:w="1839"/>
        <w:gridCol w:w="95"/>
        <w:gridCol w:w="60"/>
        <w:gridCol w:w="195"/>
        <w:gridCol w:w="1832"/>
        <w:gridCol w:w="95"/>
        <w:gridCol w:w="60"/>
        <w:gridCol w:w="167"/>
        <w:gridCol w:w="1572"/>
        <w:gridCol w:w="95"/>
        <w:gridCol w:w="60"/>
        <w:gridCol w:w="60"/>
        <w:gridCol w:w="560"/>
        <w:gridCol w:w="114"/>
      </w:tblGrid>
      <w:tr>
        <w:trPr/>
        <w:tc>
          <w:tcPr>
            <w:tcW w:w="314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2035" w:type="dxa"/>
            <w:gridSpan w:val="2"/>
            <w:tcBorders>
              <w:bottom w:val="single" w:sz="12" w:space="0" w:color="000000"/>
            </w:tcBorders>
            <w:vAlign w:val="center"/>
          </w:tcPr>
          <w:p>
            <w:pPr>
              <w:pStyle w:val="TableContents"/>
              <w:bidi w:val="0"/>
              <w:spacing w:before="0" w:after="283"/>
              <w:jc w:val="center"/>
              <w:rPr>
                <w:b/>
              </w:rPr>
            </w:pPr>
            <w:r>
              <w:rPr>
                <w:b/>
              </w:rPr>
              <w:t>Long-term</w:t>
              <w:br/>
              <w:t xml:space="preserve">borrowing </w:t>
              <w:br/>
              <w:t xml:space="preserve">from credit </w:t>
              <w:br/>
              <w:t>institutions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7" w:type="dxa"/>
            <w:gridSpan w:val="2"/>
            <w:tcBorders>
              <w:bottom w:val="single" w:sz="12" w:space="0" w:color="000000"/>
            </w:tcBorders>
            <w:vAlign w:val="center"/>
          </w:tcPr>
          <w:p>
            <w:pPr>
              <w:pStyle w:val="TableContents"/>
              <w:bidi w:val="0"/>
              <w:spacing w:before="0" w:after="283"/>
              <w:jc w:val="center"/>
              <w:rPr>
                <w:b/>
              </w:rPr>
            </w:pPr>
            <w:r>
              <w:rPr>
                <w:b/>
              </w:rPr>
              <w:t>Issue of</w:t>
              <w:br/>
              <w:t xml:space="preserve">investments </w:t>
              <w:br/>
              <w:t xml:space="preserve">and advances </w:t>
              <w:br/>
              <w:t>of the state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9" w:type="dxa"/>
            <w:gridSpan w:val="2"/>
            <w:tcBorders>
              <w:bottom w:val="single" w:sz="12" w:space="0" w:color="000000"/>
            </w:tcBorders>
            <w:vAlign w:val="center"/>
          </w:tcPr>
          <w:p>
            <w:pPr>
              <w:pStyle w:val="TableContents"/>
              <w:bidi w:val="0"/>
              <w:spacing w:before="0" w:after="283"/>
              <w:jc w:val="center"/>
              <w:rPr>
                <w:b/>
              </w:rPr>
            </w:pPr>
            <w:r>
              <w:rPr>
                <w:b/>
              </w:rPr>
              <w:t>Other loans</w:t>
              <w:br/>
              <w:t xml:space="preserve">and financial </w:t>
              <w:br/>
              <w:t>debts – non-current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14" w:type="dxa"/>
            <w:tcBorders/>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b/>
              </w:rPr>
            </w:pPr>
            <w:r>
              <w:rPr>
                <w:b/>
              </w:rPr>
              <w:t>Borrowings – non-current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1839" w:type="dxa"/>
            <w:tcBorders>
              <w:bottom w:val="single" w:sz="12" w:space="0" w:color="000000"/>
            </w:tcBorders>
            <w:shd w:fill="CCEEFF" w:val="clear"/>
            <w:vAlign w:val="center"/>
          </w:tcPr>
          <w:p>
            <w:pPr>
              <w:pStyle w:val="TableContents"/>
              <w:bidi w:val="0"/>
              <w:spacing w:before="0" w:after="283"/>
              <w:jc w:val="right"/>
              <w:rPr>
                <w:b/>
              </w:rPr>
            </w:pPr>
            <w:r>
              <w:rPr>
                <w:b/>
              </w:rPr>
              <w:t>1,900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1832" w:type="dxa"/>
            <w:tcBorders>
              <w:bottom w:val="single" w:sz="12" w:space="0" w:color="000000"/>
            </w:tcBorders>
            <w:shd w:fill="CCEEFF" w:val="clear"/>
            <w:vAlign w:val="center"/>
          </w:tcPr>
          <w:p>
            <w:pPr>
              <w:pStyle w:val="TableContents"/>
              <w:bidi w:val="0"/>
              <w:spacing w:before="0" w:after="283"/>
              <w:jc w:val="right"/>
              <w:rPr>
                <w:b/>
              </w:rPr>
            </w:pPr>
            <w:r>
              <w:rPr>
                <w:b/>
              </w:rPr>
              <w:t>1,231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72" w:type="dxa"/>
            <w:tcBorders>
              <w:bottom w:val="single" w:sz="12" w:space="0" w:color="000000"/>
            </w:tcBorders>
            <w:shd w:fill="CCEEFF" w:val="clear"/>
            <w:vAlign w:val="center"/>
          </w:tcPr>
          <w:p>
            <w:pPr>
              <w:pStyle w:val="TableContents"/>
              <w:bidi w:val="0"/>
              <w:spacing w:before="0" w:after="283"/>
              <w:jc w:val="right"/>
              <w:rPr>
                <w:b/>
              </w:rPr>
            </w:pPr>
            <w:r>
              <w:rPr>
                <w:b/>
              </w:rPr>
              <w:t>4,510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b/>
              </w:rPr>
            </w:pPr>
            <w:r>
              <w:rPr>
                <w:b/>
              </w:rPr>
              <w:t>7,640</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83</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pPr>
            <w:r>
              <w:rPr/>
              <w:t>Reimbursement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83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7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(14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w:t>
            </w:r>
          </w:p>
        </w:tc>
        <w:tc>
          <w:tcPr>
            <w:tcW w:w="114" w:type="dxa"/>
            <w:tcBorders/>
            <w:shd w:fill="FFFFFF" w:val="clear"/>
            <w:tcMar>
              <w:bottom w:w="0" w:type="dxa"/>
            </w:tcMar>
            <w:vAlign w:val="center"/>
          </w:tcPr>
          <w:p>
            <w:pPr>
              <w:pStyle w:val="TableContents"/>
              <w:bidi w:val="0"/>
              <w:spacing w:before="0" w:after="283"/>
              <w:jc w:val="left"/>
              <w:rPr/>
            </w:pPr>
            <w:r>
              <w:rPr/>
              <w:t> </w:t>
            </w:r>
          </w:p>
        </w:tc>
      </w:tr>
      <w:tr>
        <w:trPr/>
        <w:tc>
          <w:tcPr>
            <w:tcW w:w="3145" w:type="dxa"/>
            <w:tcBorders/>
            <w:shd w:fill="CCEEFF" w:val="clear"/>
            <w:tcMar>
              <w:bottom w:w="0" w:type="dxa"/>
            </w:tcMar>
            <w:vAlign w:val="center"/>
          </w:tcPr>
          <w:p>
            <w:pPr>
              <w:pStyle w:val="TableContents"/>
              <w:bidi w:val="0"/>
              <w:spacing w:before="0" w:after="283"/>
              <w:jc w:val="left"/>
              <w:rPr/>
            </w:pPr>
            <w:r>
              <w:rPr/>
              <w:t>Changes in scope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83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7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pPr>
            <w:r>
              <w:rPr/>
              <w:t>Reclassification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839" w:type="dxa"/>
            <w:tcBorders/>
            <w:shd w:fill="FFFFFF" w:val="clear"/>
            <w:tcMar>
              <w:bottom w:w="0" w:type="dxa"/>
            </w:tcMar>
            <w:vAlign w:val="center"/>
          </w:tcPr>
          <w:p>
            <w:pPr>
              <w:pStyle w:val="TableContents"/>
              <w:bidi w:val="0"/>
              <w:spacing w:before="0" w:after="283"/>
              <w:jc w:val="right"/>
              <w:rPr/>
            </w:pPr>
            <w:r>
              <w:rPr/>
              <w:t>(440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572" w:type="dxa"/>
            <w:tcBorders/>
            <w:shd w:fill="FFFFFF" w:val="clear"/>
            <w:tcMar>
              <w:bottom w:w="0" w:type="dxa"/>
            </w:tcMar>
            <w:vAlign w:val="center"/>
          </w:tcPr>
          <w:p>
            <w:pPr>
              <w:pStyle w:val="TableContents"/>
              <w:bidi w:val="0"/>
              <w:spacing w:before="0" w:after="283"/>
              <w:jc w:val="right"/>
              <w:rPr/>
            </w:pPr>
            <w:r>
              <w:rPr/>
              <w:t>(46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(487</w:t>
            </w:r>
          </w:p>
        </w:tc>
        <w:tc>
          <w:tcPr>
            <w:tcW w:w="114" w:type="dxa"/>
            <w:tcBorders/>
            <w:shd w:fill="FFFFFF" w:val="clear"/>
            <w:tcMar>
              <w:bottom w:w="0" w:type="dxa"/>
            </w:tcMar>
            <w:vAlign w:val="center"/>
          </w:tcPr>
          <w:p>
            <w:pPr>
              <w:pStyle w:val="TableContents"/>
              <w:bidi w:val="0"/>
              <w:spacing w:before="0" w:after="283"/>
              <w:jc w:val="left"/>
              <w:rPr/>
            </w:pPr>
            <w:r>
              <w:rPr/>
              <w:t>)</w:t>
            </w:r>
          </w:p>
        </w:tc>
      </w:tr>
      <w:tr>
        <w:trPr/>
        <w:tc>
          <w:tcPr>
            <w:tcW w:w="3145" w:type="dxa"/>
            <w:tcBorders/>
            <w:shd w:fill="CCEEFF" w:val="clear"/>
            <w:tcMar>
              <w:bottom w:w="0" w:type="dxa"/>
            </w:tcMar>
            <w:vAlign w:val="center"/>
          </w:tcPr>
          <w:p>
            <w:pPr>
              <w:pStyle w:val="TableContents"/>
              <w:bidi w:val="0"/>
              <w:spacing w:before="0" w:after="283"/>
              <w:jc w:val="left"/>
              <w:rPr/>
            </w:pPr>
            <w:r>
              <w:rPr/>
              <w:t>Fair value and other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CCEEFF" w:val="clear"/>
            <w:vAlign w:val="center"/>
          </w:tcPr>
          <w:p>
            <w:pPr>
              <w:pStyle w:val="TableContents"/>
              <w:bidi w:val="0"/>
              <w:spacing w:before="0" w:after="283"/>
              <w:jc w:val="left"/>
              <w:rPr/>
            </w:pPr>
            <w:r>
              <w:rPr/>
              <w:t> </w:t>
            </w:r>
          </w:p>
        </w:tc>
        <w:tc>
          <w:tcPr>
            <w:tcW w:w="1839" w:type="dxa"/>
            <w:tcBorders>
              <w:bottom w:val="single" w:sz="12" w:space="0" w:color="000000"/>
            </w:tcBorders>
            <w:shd w:fill="CCEEFF" w:val="clear"/>
            <w:vAlign w:val="center"/>
          </w:tcPr>
          <w:p>
            <w:pPr>
              <w:pStyle w:val="TableContents"/>
              <w:bidi w:val="0"/>
              <w:spacing w:before="0" w:after="283"/>
              <w:jc w:val="right"/>
              <w:rPr/>
            </w:pPr>
            <w:r>
              <w:rPr/>
              <w:t>152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CCEEFF" w:val="clear"/>
            <w:vAlign w:val="center"/>
          </w:tcPr>
          <w:p>
            <w:pPr>
              <w:pStyle w:val="TableContents"/>
              <w:bidi w:val="0"/>
              <w:spacing w:before="0" w:after="283"/>
              <w:jc w:val="left"/>
              <w:rPr/>
            </w:pPr>
            <w:r>
              <w:rPr/>
              <w:t> </w:t>
            </w:r>
          </w:p>
        </w:tc>
        <w:tc>
          <w:tcPr>
            <w:tcW w:w="1832"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72" w:type="dxa"/>
            <w:tcBorders>
              <w:bottom w:val="single" w:sz="12" w:space="0" w:color="000000"/>
            </w:tcBorders>
            <w:shd w:fill="CCEEFF" w:val="clear"/>
            <w:vAlign w:val="center"/>
          </w:tcPr>
          <w:p>
            <w:pPr>
              <w:pStyle w:val="TableContents"/>
              <w:bidi w:val="0"/>
              <w:spacing w:before="0" w:after="283"/>
              <w:jc w:val="right"/>
              <w:rPr/>
            </w:pPr>
            <w:r>
              <w:rPr/>
              <w:t>361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512</w:t>
            </w:r>
          </w:p>
        </w:tc>
        <w:tc>
          <w:tcPr>
            <w:tcW w:w="114" w:type="dxa"/>
            <w:tcBorders/>
            <w:shd w:fill="CCEEFF" w:val="clear"/>
            <w:tcMar>
              <w:bottom w:w="0" w:type="dxa"/>
            </w:tcMar>
            <w:vAlign w:val="center"/>
          </w:tcPr>
          <w:p>
            <w:pPr>
              <w:pStyle w:val="TableContents"/>
              <w:bidi w:val="0"/>
              <w:spacing w:before="0" w:after="283"/>
              <w:jc w:val="left"/>
              <w:rPr/>
            </w:pPr>
            <w:r>
              <w:rPr/>
              <w:t> </w:t>
            </w:r>
          </w:p>
        </w:tc>
      </w:tr>
      <w:tr>
        <w:trPr/>
        <w:tc>
          <w:tcPr>
            <w:tcW w:w="3145" w:type="dxa"/>
            <w:tcBorders/>
            <w:shd w:fill="FFFFFF" w:val="clear"/>
            <w:tcMar>
              <w:bottom w:w="0" w:type="dxa"/>
            </w:tcMar>
            <w:vAlign w:val="center"/>
          </w:tcPr>
          <w:p>
            <w:pPr>
              <w:pStyle w:val="TableContents"/>
              <w:bidi w:val="0"/>
              <w:spacing w:before="0" w:after="283"/>
              <w:jc w:val="left"/>
              <w:rPr>
                <w:b/>
              </w:rPr>
            </w:pPr>
            <w:r>
              <w:rPr>
                <w:b/>
              </w:rPr>
              <w:t>Borrowings – non-current at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bottom w:val="single" w:sz="12" w:space="0" w:color="000000"/>
            </w:tcBorders>
            <w:shd w:fill="FFFFFF" w:val="clear"/>
            <w:vAlign w:val="center"/>
          </w:tcPr>
          <w:p>
            <w:pPr>
              <w:pStyle w:val="TableContents"/>
              <w:bidi w:val="0"/>
              <w:spacing w:before="0" w:after="283"/>
              <w:jc w:val="left"/>
              <w:rPr/>
            </w:pPr>
            <w:r>
              <w:rPr/>
              <w:t> </w:t>
            </w:r>
          </w:p>
        </w:tc>
        <w:tc>
          <w:tcPr>
            <w:tcW w:w="1839" w:type="dxa"/>
            <w:tcBorders>
              <w:bottom w:val="single" w:sz="12" w:space="0" w:color="000000"/>
            </w:tcBorders>
            <w:shd w:fill="FFFFFF" w:val="clear"/>
            <w:vAlign w:val="center"/>
          </w:tcPr>
          <w:p>
            <w:pPr>
              <w:pStyle w:val="TableContents"/>
              <w:bidi w:val="0"/>
              <w:spacing w:before="0" w:after="283"/>
              <w:jc w:val="right"/>
              <w:rPr>
                <w:b/>
              </w:rPr>
            </w:pPr>
            <w:r>
              <w:rPr>
                <w:b/>
              </w:rPr>
              <w:t>1,597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bottom w:val="single" w:sz="12" w:space="0" w:color="000000"/>
            </w:tcBorders>
            <w:shd w:fill="FFFFFF" w:val="clear"/>
            <w:vAlign w:val="center"/>
          </w:tcPr>
          <w:p>
            <w:pPr>
              <w:pStyle w:val="TableContents"/>
              <w:bidi w:val="0"/>
              <w:spacing w:before="0" w:after="283"/>
              <w:jc w:val="left"/>
              <w:rPr/>
            </w:pPr>
            <w:r>
              <w:rPr/>
              <w:t> </w:t>
            </w:r>
          </w:p>
        </w:tc>
        <w:tc>
          <w:tcPr>
            <w:tcW w:w="1832" w:type="dxa"/>
            <w:tcBorders>
              <w:bottom w:val="single" w:sz="12" w:space="0" w:color="000000"/>
            </w:tcBorders>
            <w:shd w:fill="FFFFFF" w:val="clear"/>
            <w:vAlign w:val="center"/>
          </w:tcPr>
          <w:p>
            <w:pPr>
              <w:pStyle w:val="TableContents"/>
              <w:bidi w:val="0"/>
              <w:spacing w:before="0" w:after="283"/>
              <w:jc w:val="right"/>
              <w:rPr>
                <w:b/>
              </w:rPr>
            </w:pPr>
            <w:r>
              <w:rPr>
                <w:b/>
              </w:rPr>
              <w:t>1,312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1572" w:type="dxa"/>
            <w:tcBorders>
              <w:bottom w:val="single" w:sz="12" w:space="0" w:color="000000"/>
            </w:tcBorders>
            <w:shd w:fill="FFFFFF" w:val="clear"/>
            <w:vAlign w:val="center"/>
          </w:tcPr>
          <w:p>
            <w:pPr>
              <w:pStyle w:val="TableContents"/>
              <w:bidi w:val="0"/>
              <w:spacing w:before="0" w:after="283"/>
              <w:jc w:val="right"/>
              <w:rPr>
                <w:b/>
              </w:rPr>
            </w:pPr>
            <w:r>
              <w:rPr>
                <w:b/>
              </w:rPr>
              <w:t>4,887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560" w:type="dxa"/>
            <w:tcBorders>
              <w:bottom w:val="single" w:sz="12" w:space="0" w:color="000000"/>
            </w:tcBorders>
            <w:shd w:fill="FFFFFF" w:val="clear"/>
            <w:vAlign w:val="center"/>
          </w:tcPr>
          <w:p>
            <w:pPr>
              <w:pStyle w:val="TableContents"/>
              <w:bidi w:val="0"/>
              <w:spacing w:before="0" w:after="283"/>
              <w:jc w:val="right"/>
              <w:rPr>
                <w:b/>
              </w:rPr>
            </w:pPr>
            <w:r>
              <w:rPr>
                <w:b/>
              </w:rPr>
              <w:t>7,796</w:t>
            </w:r>
          </w:p>
        </w:tc>
        <w:tc>
          <w:tcPr>
            <w:tcW w:w="11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borrowings mainly include:</w:t>
      </w:r>
    </w:p>
    <w:p>
      <w:pPr>
        <w:pStyle w:val="TextBody"/>
        <w:bidi w:val="0"/>
        <w:spacing w:before="0" w:after="0"/>
        <w:ind w:left="720" w:right="0" w:hanging="36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9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15" w:type="dxa"/>
            <w:tcBorders/>
            <w:vAlign w:val="center"/>
          </w:tcPr>
          <w:p>
            <w:pPr>
              <w:pStyle w:val="TableContents"/>
              <w:bidi w:val="0"/>
              <w:spacing w:before="0" w:after="283"/>
              <w:jc w:val="left"/>
              <w:rPr/>
            </w:pPr>
            <w:r>
              <w:rPr/>
              <w:t>BPI loans for an outstanding amount of €1,527 thousand (€1,810 thousand in 2025).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Canadian Investissement Québec loan including capitalized interests for €2,650 thousand (€2,580 thousand in 2025).</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21"/>
        <w:gridCol w:w="10037"/>
      </w:tblGrid>
      <w:tr>
        <w:trPr/>
        <w:tc>
          <w:tcPr>
            <w:tcW w:w="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7" w:type="dxa"/>
            <w:tcBorders/>
            <w:vAlign w:val="center"/>
          </w:tcPr>
          <w:p>
            <w:pPr>
              <w:pStyle w:val="TableContents"/>
              <w:bidi w:val="0"/>
              <w:spacing w:before="0" w:after="283"/>
              <w:jc w:val="left"/>
              <w:rPr/>
            </w:pPr>
            <w:r>
              <w:rPr/>
              <w:t>IFA loan for an outstanding amount of €2,236 thousand (€1,930 thousand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11 for further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46"/>
        <w:gridCol w:w="60"/>
        <w:gridCol w:w="67"/>
        <w:gridCol w:w="906"/>
        <w:gridCol w:w="95"/>
        <w:gridCol w:w="60"/>
        <w:gridCol w:w="116"/>
        <w:gridCol w:w="1095"/>
        <w:gridCol w:w="95"/>
        <w:gridCol w:w="60"/>
        <w:gridCol w:w="106"/>
        <w:gridCol w:w="813"/>
        <w:gridCol w:w="95"/>
        <w:gridCol w:w="60"/>
        <w:gridCol w:w="131"/>
        <w:gridCol w:w="839"/>
        <w:gridCol w:w="95"/>
        <w:gridCol w:w="60"/>
        <w:gridCol w:w="223"/>
        <w:gridCol w:w="971"/>
        <w:gridCol w:w="95"/>
        <w:gridCol w:w="60"/>
        <w:gridCol w:w="273"/>
        <w:gridCol w:w="984"/>
        <w:gridCol w:w="95"/>
        <w:gridCol w:w="60"/>
        <w:gridCol w:w="60"/>
        <w:gridCol w:w="800"/>
        <w:gridCol w:w="85"/>
      </w:tblGrid>
      <w:tr>
        <w:trPr/>
        <w:tc>
          <w:tcPr>
            <w:tcW w:w="1746"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73" w:type="dxa"/>
            <w:gridSpan w:val="2"/>
            <w:tcBorders>
              <w:bottom w:val="single" w:sz="12" w:space="0" w:color="000000"/>
            </w:tcBorders>
            <w:vAlign w:val="center"/>
          </w:tcPr>
          <w:p>
            <w:pPr>
              <w:pStyle w:val="TableContents"/>
              <w:bidi w:val="0"/>
              <w:spacing w:before="0" w:after="283"/>
              <w:jc w:val="center"/>
              <w:rPr>
                <w:b/>
              </w:rPr>
            </w:pPr>
            <w:r>
              <w:rPr>
                <w:b/>
              </w:rPr>
              <w:t xml:space="preserve">Bond </w:t>
              <w:br/>
              <w:t>issues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11" w:type="dxa"/>
            <w:gridSpan w:val="2"/>
            <w:tcBorders>
              <w:bottom w:val="single" w:sz="12" w:space="0" w:color="000000"/>
            </w:tcBorders>
            <w:vAlign w:val="center"/>
          </w:tcPr>
          <w:p>
            <w:pPr>
              <w:pStyle w:val="TableContents"/>
              <w:bidi w:val="0"/>
              <w:spacing w:before="0" w:after="283"/>
              <w:jc w:val="center"/>
              <w:rPr>
                <w:b/>
              </w:rPr>
            </w:pPr>
            <w:r>
              <w:rPr>
                <w:b/>
              </w:rPr>
              <w:t xml:space="preserve">Long-term </w:t>
              <w:br/>
              <w:t xml:space="preserve">borrowing </w:t>
              <w:br/>
              <w:t xml:space="preserve">from credit </w:t>
              <w:br/>
              <w:t>institutions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12" w:space="0" w:color="000000"/>
            </w:tcBorders>
            <w:vAlign w:val="center"/>
          </w:tcPr>
          <w:p>
            <w:pPr>
              <w:pStyle w:val="TableContents"/>
              <w:bidi w:val="0"/>
              <w:spacing w:before="0" w:after="283"/>
              <w:jc w:val="center"/>
              <w:rPr>
                <w:b/>
              </w:rPr>
            </w:pPr>
            <w:r>
              <w:rPr>
                <w:b/>
              </w:rPr>
              <w:t>Accrued</w:t>
              <w:br/>
              <w:t xml:space="preserve">interests on </w:t>
              <w:br/>
              <w:t>loans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rPr>
            </w:pPr>
            <w:r>
              <w:rPr>
                <w:b/>
              </w:rPr>
              <w:t>Other</w:t>
              <w:br/>
              <w:t xml:space="preserve">loans and </w:t>
              <w:br/>
              <w:t xml:space="preserve">financial </w:t>
              <w:br/>
              <w:t>debts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4" w:type="dxa"/>
            <w:gridSpan w:val="2"/>
            <w:tcBorders>
              <w:bottom w:val="single" w:sz="12" w:space="0" w:color="000000"/>
            </w:tcBorders>
            <w:vAlign w:val="center"/>
          </w:tcPr>
          <w:p>
            <w:pPr>
              <w:pStyle w:val="TableContents"/>
              <w:bidi w:val="0"/>
              <w:spacing w:before="0" w:after="283"/>
              <w:jc w:val="center"/>
              <w:rPr>
                <w:b/>
              </w:rPr>
            </w:pPr>
            <w:r>
              <w:rPr>
                <w:b/>
              </w:rPr>
              <w:t xml:space="preserve">Current </w:t>
              <w:br/>
              <w:t xml:space="preserve">bank </w:t>
              <w:br/>
              <w:t xml:space="preserve">borrowings </w:t>
              <w:br/>
              <w:t xml:space="preserve">and </w:t>
              <w:br/>
              <w:t>overdrafts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7" w:type="dxa"/>
            <w:gridSpan w:val="2"/>
            <w:tcBorders>
              <w:bottom w:val="single" w:sz="12" w:space="0" w:color="000000"/>
            </w:tcBorders>
            <w:vAlign w:val="center"/>
          </w:tcPr>
          <w:p>
            <w:pPr>
              <w:pStyle w:val="TableContents"/>
              <w:bidi w:val="0"/>
              <w:spacing w:before="0" w:after="283"/>
              <w:jc w:val="center"/>
              <w:rPr>
                <w:b/>
              </w:rPr>
            </w:pPr>
            <w:r>
              <w:rPr>
                <w:b/>
              </w:rPr>
              <w:t xml:space="preserve">Issue of </w:t>
              <w:br/>
              <w:t xml:space="preserve">investments </w:t>
              <w:br/>
              <w:t xml:space="preserve">and </w:t>
              <w:br/>
              <w:t xml:space="preserve">advances of </w:t>
              <w:br/>
              <w:t>the state - current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85" w:type="dxa"/>
            <w:tcBorders/>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b/>
              </w:rPr>
            </w:pPr>
            <w:r>
              <w:rPr>
                <w:b/>
              </w:rPr>
              <w:t>Borrowings - current at January 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b/>
              </w:rPr>
            </w:pPr>
            <w:r>
              <w:rPr>
                <w:b/>
              </w:rPr>
              <w:t>102,278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95" w:type="dxa"/>
            <w:tcBorders>
              <w:bottom w:val="single" w:sz="12" w:space="0" w:color="000000"/>
            </w:tcBorders>
            <w:shd w:fill="CCEEFF" w:val="clear"/>
            <w:vAlign w:val="center"/>
          </w:tcPr>
          <w:p>
            <w:pPr>
              <w:pStyle w:val="TableContents"/>
              <w:bidi w:val="0"/>
              <w:spacing w:before="0" w:after="283"/>
              <w:jc w:val="right"/>
              <w:rPr>
                <w:b/>
              </w:rPr>
            </w:pPr>
            <w:r>
              <w:rPr>
                <w:b/>
              </w:rPr>
              <w:t>2,711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b/>
              </w:rPr>
            </w:pPr>
            <w:r>
              <w:rPr>
                <w:b/>
              </w:rPr>
              <w:t>111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b/>
              </w:rPr>
            </w:pPr>
            <w:r>
              <w:rPr>
                <w:b/>
              </w:rPr>
              <w:t>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CCEEFF" w:val="clear"/>
            <w:vAlign w:val="center"/>
          </w:tcPr>
          <w:p>
            <w:pPr>
              <w:pStyle w:val="TableContents"/>
              <w:bidi w:val="0"/>
              <w:spacing w:before="0" w:after="283"/>
              <w:jc w:val="left"/>
              <w:rPr/>
            </w:pPr>
            <w:r>
              <w:rPr/>
              <w:t> </w:t>
            </w:r>
          </w:p>
        </w:tc>
        <w:tc>
          <w:tcPr>
            <w:tcW w:w="984" w:type="dxa"/>
            <w:tcBorders>
              <w:bottom w:val="single" w:sz="12" w:space="0" w:color="000000"/>
            </w:tcBorders>
            <w:shd w:fill="CCEEFF" w:val="clear"/>
            <w:vAlign w:val="center"/>
          </w:tcPr>
          <w:p>
            <w:pPr>
              <w:pStyle w:val="TableContents"/>
              <w:bidi w:val="0"/>
              <w:spacing w:before="0" w:after="283"/>
              <w:jc w:val="right"/>
              <w:rPr>
                <w:b/>
              </w:rPr>
            </w:pPr>
            <w:r>
              <w:rPr>
                <w:b/>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105,164</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227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227</w:t>
            </w:r>
          </w:p>
        </w:tc>
        <w:tc>
          <w:tcPr>
            <w:tcW w:w="8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pPr>
            <w:r>
              <w:rPr/>
              <w:t>Reimbursement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(602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(612</w:t>
            </w:r>
          </w:p>
        </w:tc>
        <w:tc>
          <w:tcPr>
            <w:tcW w:w="85"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FFFFFF" w:val="clear"/>
            <w:tcMar>
              <w:bottom w:w="0" w:type="dxa"/>
            </w:tcMar>
            <w:vAlign w:val="center"/>
          </w:tcPr>
          <w:p>
            <w:pPr>
              <w:pStyle w:val="TableContents"/>
              <w:bidi w:val="0"/>
              <w:spacing w:before="0" w:after="283"/>
              <w:jc w:val="left"/>
              <w:rPr/>
            </w:pPr>
            <w:r>
              <w:rPr/>
              <w:t>Conversion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(95,230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(95,230</w:t>
            </w:r>
          </w:p>
        </w:tc>
        <w:tc>
          <w:tcPr>
            <w:tcW w:w="8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CCEEFF" w:val="clear"/>
            <w:tcMar>
              <w:bottom w:w="0" w:type="dxa"/>
            </w:tcMar>
            <w:vAlign w:val="center"/>
          </w:tcPr>
          <w:p>
            <w:pPr>
              <w:pStyle w:val="TableContents"/>
              <w:bidi w:val="0"/>
              <w:spacing w:before="0" w:after="283"/>
              <w:jc w:val="left"/>
              <w:rPr/>
            </w:pPr>
            <w:r>
              <w:rPr/>
              <w:t>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Changes in scope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9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839"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71"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shd w:fill="FFFFFF" w:val="clear"/>
            <w:tcMar>
              <w:bottom w:w="0" w:type="dxa"/>
            </w:tcMar>
            <w:vAlign w:val="center"/>
          </w:tcPr>
          <w:p>
            <w:pPr>
              <w:pStyle w:val="TableContents"/>
              <w:bidi w:val="0"/>
              <w:spacing w:before="0" w:after="283"/>
              <w:jc w:val="left"/>
              <w:rPr/>
            </w:pPr>
            <w:r>
              <w:rPr/>
              <w:t> </w:t>
            </w:r>
          </w:p>
        </w:tc>
        <w:tc>
          <w:tcPr>
            <w:tcW w:w="98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8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CCEEFF" w:val="clear"/>
            <w:tcMar>
              <w:bottom w:w="0" w:type="dxa"/>
            </w:tcMar>
            <w:vAlign w:val="center"/>
          </w:tcPr>
          <w:p>
            <w:pPr>
              <w:pStyle w:val="TableContents"/>
              <w:bidi w:val="0"/>
              <w:spacing w:before="0" w:after="283"/>
              <w:jc w:val="left"/>
              <w:rPr/>
            </w:pPr>
            <w:r>
              <w:rPr/>
              <w:t>Reclassification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9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right"/>
              <w:rPr/>
            </w:pPr>
            <w:r>
              <w:rPr/>
              <w:t>(137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9" w:type="dxa"/>
            <w:tcBorders/>
            <w:shd w:fill="CCEEFF" w:val="clear"/>
            <w:tcMar>
              <w:bottom w:w="0" w:type="dxa"/>
            </w:tcMar>
            <w:vAlign w:val="center"/>
          </w:tcPr>
          <w:p>
            <w:pPr>
              <w:pStyle w:val="TableContents"/>
              <w:bidi w:val="0"/>
              <w:spacing w:before="0" w:after="283"/>
              <w:jc w:val="right"/>
              <w:rPr/>
            </w:pPr>
            <w:r>
              <w:rPr/>
              <w:t>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351</w:t>
            </w:r>
          </w:p>
        </w:tc>
        <w:tc>
          <w:tcPr>
            <w:tcW w:w="8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746" w:type="dxa"/>
            <w:tcBorders/>
            <w:shd w:fill="FFFFFF" w:val="clear"/>
            <w:tcMar>
              <w:bottom w:w="0" w:type="dxa"/>
            </w:tcMar>
            <w:vAlign w:val="center"/>
          </w:tcPr>
          <w:p>
            <w:pPr>
              <w:pStyle w:val="TableContents"/>
              <w:bidi w:val="0"/>
              <w:spacing w:before="0" w:after="283"/>
              <w:jc w:val="left"/>
              <w:rPr/>
            </w:pPr>
            <w:r>
              <w:rPr/>
              <w:t>Fair value and other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FFFFFF" w:val="clear"/>
            <w:vAlign w:val="center"/>
          </w:tcPr>
          <w:p>
            <w:pPr>
              <w:pStyle w:val="TableContents"/>
              <w:bidi w:val="0"/>
              <w:spacing w:before="0" w:after="283"/>
              <w:jc w:val="left"/>
              <w:rPr/>
            </w:pPr>
            <w:r>
              <w:rPr/>
              <w:t> </w:t>
            </w:r>
          </w:p>
        </w:tc>
        <w:tc>
          <w:tcPr>
            <w:tcW w:w="906" w:type="dxa"/>
            <w:tcBorders>
              <w:bottom w:val="single" w:sz="12" w:space="0" w:color="000000"/>
            </w:tcBorders>
            <w:shd w:fill="FFFFFF" w:val="cle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FFFFFF" w:val="clear"/>
            <w:vAlign w:val="center"/>
          </w:tcPr>
          <w:p>
            <w:pPr>
              <w:pStyle w:val="TableContents"/>
              <w:bidi w:val="0"/>
              <w:spacing w:before="0" w:after="283"/>
              <w:jc w:val="left"/>
              <w:rPr/>
            </w:pPr>
            <w:r>
              <w:rPr/>
              <w:t> </w:t>
            </w:r>
          </w:p>
        </w:tc>
        <w:tc>
          <w:tcPr>
            <w:tcW w:w="109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FFFFFF" w:val="clear"/>
            <w:vAlign w:val="center"/>
          </w:tcPr>
          <w:p>
            <w:pPr>
              <w:pStyle w:val="TableContents"/>
              <w:bidi w:val="0"/>
              <w:spacing w:before="0" w:after="283"/>
              <w:jc w:val="left"/>
              <w:rPr/>
            </w:pPr>
            <w:r>
              <w:rPr/>
              <w:t> </w:t>
            </w:r>
          </w:p>
        </w:tc>
        <w:tc>
          <w:tcPr>
            <w:tcW w:w="81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839"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vAlign w:val="center"/>
          </w:tcPr>
          <w:p>
            <w:pPr>
              <w:pStyle w:val="TableContents"/>
              <w:bidi w:val="0"/>
              <w:spacing w:before="0" w:after="283"/>
              <w:jc w:val="left"/>
              <w:rPr/>
            </w:pPr>
            <w:r>
              <w:rPr/>
              <w:t> </w:t>
            </w:r>
          </w:p>
        </w:tc>
        <w:tc>
          <w:tcPr>
            <w:tcW w:w="971"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FFFFFF" w:val="clear"/>
            <w:vAlign w:val="center"/>
          </w:tcPr>
          <w:p>
            <w:pPr>
              <w:pStyle w:val="TableContents"/>
              <w:bidi w:val="0"/>
              <w:spacing w:before="0" w:after="283"/>
              <w:jc w:val="left"/>
              <w:rPr/>
            </w:pPr>
            <w:r>
              <w:rPr/>
              <w:t> </w:t>
            </w:r>
          </w:p>
        </w:tc>
        <w:tc>
          <w:tcPr>
            <w:tcW w:w="98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(7,048</w:t>
            </w:r>
          </w:p>
        </w:tc>
        <w:tc>
          <w:tcPr>
            <w:tcW w:w="85"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1746" w:type="dxa"/>
            <w:tcBorders/>
            <w:shd w:fill="CCEEFF" w:val="clear"/>
            <w:tcMar>
              <w:bottom w:w="0" w:type="dxa"/>
            </w:tcMar>
            <w:vAlign w:val="center"/>
          </w:tcPr>
          <w:p>
            <w:pPr>
              <w:pStyle w:val="TableContents"/>
              <w:bidi w:val="0"/>
              <w:spacing w:before="0" w:after="283"/>
              <w:jc w:val="left"/>
              <w:rPr>
                <w:b/>
              </w:rPr>
            </w:pPr>
            <w:r>
              <w:rPr>
                <w:b/>
              </w:rPr>
              <w:t>Borrowings - current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906"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095" w:type="dxa"/>
            <w:tcBorders>
              <w:bottom w:val="single" w:sz="12" w:space="0" w:color="000000"/>
            </w:tcBorders>
            <w:shd w:fill="CCEEFF" w:val="clear"/>
            <w:vAlign w:val="center"/>
          </w:tcPr>
          <w:p>
            <w:pPr>
              <w:pStyle w:val="TableContents"/>
              <w:bidi w:val="0"/>
              <w:spacing w:before="0" w:after="283"/>
              <w:jc w:val="right"/>
              <w:rPr>
                <w:b/>
              </w:rPr>
            </w:pPr>
            <w:r>
              <w:rPr>
                <w:b/>
              </w:rPr>
              <w:t>2,549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813" w:type="dxa"/>
            <w:tcBorders>
              <w:bottom w:val="single" w:sz="12" w:space="0" w:color="000000"/>
            </w:tcBorders>
            <w:shd w:fill="CCEEFF" w:val="clear"/>
            <w:vAlign w:val="center"/>
          </w:tcPr>
          <w:p>
            <w:pPr>
              <w:pStyle w:val="TableContents"/>
              <w:bidi w:val="0"/>
              <w:spacing w:before="0" w:after="283"/>
              <w:jc w:val="right"/>
              <w:rPr>
                <w:b/>
              </w:rPr>
            </w:pPr>
            <w:r>
              <w:rPr>
                <w:b/>
              </w:rPr>
              <w:t>137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839" w:type="dxa"/>
            <w:tcBorders>
              <w:bottom w:val="single" w:sz="12" w:space="0" w:color="000000"/>
            </w:tcBorders>
            <w:shd w:fill="CCEEFF" w:val="clear"/>
            <w:vAlign w:val="center"/>
          </w:tcPr>
          <w:p>
            <w:pPr>
              <w:pStyle w:val="TableContents"/>
              <w:bidi w:val="0"/>
              <w:spacing w:before="0" w:after="283"/>
              <w:jc w:val="right"/>
              <w:rPr>
                <w:b/>
              </w:rPr>
            </w:pPr>
            <w:r>
              <w:rPr>
                <w:b/>
              </w:rPr>
              <w:t>157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12" w:space="0" w:color="000000"/>
            </w:tcBorders>
            <w:shd w:fill="CCEEFF" w:val="clear"/>
            <w:vAlign w:val="center"/>
          </w:tcPr>
          <w:p>
            <w:pPr>
              <w:pStyle w:val="TableContents"/>
              <w:bidi w:val="0"/>
              <w:spacing w:before="0" w:after="283"/>
              <w:jc w:val="left"/>
              <w:rPr/>
            </w:pPr>
            <w:r>
              <w:rPr/>
              <w:t> </w:t>
            </w:r>
          </w:p>
        </w:tc>
        <w:tc>
          <w:tcPr>
            <w:tcW w:w="971" w:type="dxa"/>
            <w:tcBorders>
              <w:bottom w:val="single" w:sz="12" w:space="0" w:color="000000"/>
            </w:tcBorders>
            <w:shd w:fill="CCEEFF" w:val="clear"/>
            <w:vAlign w:val="center"/>
          </w:tcPr>
          <w:p>
            <w:pPr>
              <w:pStyle w:val="TableContents"/>
              <w:bidi w:val="0"/>
              <w:spacing w:before="0" w:after="283"/>
              <w:jc w:val="right"/>
              <w:rPr>
                <w:b/>
              </w:rPr>
            </w:pPr>
            <w:r>
              <w:rPr>
                <w:b/>
              </w:rPr>
              <w:t>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 w:type="dxa"/>
            <w:tcBorders>
              <w:bottom w:val="single" w:sz="12" w:space="0" w:color="000000"/>
            </w:tcBorders>
            <w:shd w:fill="CCEEFF" w:val="clear"/>
            <w:vAlign w:val="center"/>
          </w:tcPr>
          <w:p>
            <w:pPr>
              <w:pStyle w:val="TableContents"/>
              <w:bidi w:val="0"/>
              <w:spacing w:before="0" w:after="283"/>
              <w:jc w:val="left"/>
              <w:rPr/>
            </w:pPr>
            <w:r>
              <w:rPr/>
              <w:t> </w:t>
            </w:r>
          </w:p>
        </w:tc>
        <w:tc>
          <w:tcPr>
            <w:tcW w:w="984" w:type="dxa"/>
            <w:tcBorders>
              <w:bottom w:val="single" w:sz="12" w:space="0" w:color="000000"/>
            </w:tcBorders>
            <w:shd w:fill="CCEEFF" w:val="clear"/>
            <w:vAlign w:val="center"/>
          </w:tcPr>
          <w:p>
            <w:pPr>
              <w:pStyle w:val="TableContents"/>
              <w:bidi w:val="0"/>
              <w:spacing w:before="0" w:after="283"/>
              <w:jc w:val="right"/>
              <w:rPr>
                <w:b/>
              </w:rPr>
            </w:pPr>
            <w:r>
              <w:rPr>
                <w:b/>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8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current borrowings as of June 30, 2026 mainly related to the redemption of the ORAs.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Group issued ORAs for a total amount of €68,295 thousand. These instruments were designated in full at fair value through profit or loss and classified within Level 3 of the fair value hierarchy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Group completed the capital increase (Series C financing) – see Notes 2 and 8. 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Their fair value at redemption date was determined based on the contractual conversion terms, under which the amount delivered to investors in shares is equal to the nominal amount plus accrued interest, multiplied by a contractual conversion factor contractually defined between 1/0.65 and 1/0.85, depending on the period elapsed between the subscription date and the occurrence of the Qualified Equity Financing event. As of March 2, 2026, the ORAs were remeasured at €95,230 thousand, the corresponding change in fair value was recognized as a gain in profit or loss under “Change in fair value of financial liabilities at FVPL” for €7,048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ORAs were derecognized upon conversion into equity instruments, with the corresponding amount reclassified from financial liabilities to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the Group’s fair value measurement policies, including the IFRS 13 fair value hierarchy, valuation techniques, significant unobservable inputs and sensitivity analyses relating to these instruments, is provided in Note 18 to the consolidated financial statements as of 31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 Breakdown of borrowings and other loans by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left"/>
        <w:rPr>
          <w:caps w:val="false"/>
          <w:smallCaps w:val="false"/>
        </w:rPr>
      </w:pPr>
      <w:r>
        <w:rPr>
          <w:caps w:val="false"/>
          <w:smallCaps w:val="false"/>
        </w:rPr>
        <w:t> </w:t>
      </w:r>
    </w:p>
    <w:tbl>
      <w:tblPr>
        <w:tblW w:w="9802" w:type="dxa"/>
        <w:jc w:val="left"/>
        <w:tblInd w:w="0" w:type="dxa"/>
        <w:tblLayout w:type="fixed"/>
        <w:tblCellMar>
          <w:top w:w="0" w:type="dxa"/>
          <w:left w:w="0" w:type="dxa"/>
          <w:bottom w:w="28" w:type="dxa"/>
          <w:right w:w="0" w:type="dxa"/>
        </w:tblCellMar>
      </w:tblPr>
      <w:tblGrid>
        <w:gridCol w:w="5600"/>
        <w:gridCol w:w="60"/>
        <w:gridCol w:w="84"/>
        <w:gridCol w:w="790"/>
        <w:gridCol w:w="60"/>
        <w:gridCol w:w="60"/>
        <w:gridCol w:w="81"/>
        <w:gridCol w:w="763"/>
        <w:gridCol w:w="60"/>
        <w:gridCol w:w="60"/>
        <w:gridCol w:w="114"/>
        <w:gridCol w:w="1075"/>
        <w:gridCol w:w="60"/>
        <w:gridCol w:w="60"/>
        <w:gridCol w:w="77"/>
        <w:gridCol w:w="723"/>
        <w:gridCol w:w="75"/>
      </w:tblGrid>
      <w:tr>
        <w:trPr/>
        <w:tc>
          <w:tcPr>
            <w:tcW w:w="56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bottom w:val="single" w:sz="12" w:space="0" w:color="000000"/>
            </w:tcBorders>
            <w:vAlign w:val="center"/>
          </w:tcPr>
          <w:p>
            <w:pPr>
              <w:pStyle w:val="TableContents"/>
              <w:bidi w:val="0"/>
              <w:spacing w:before="0" w:after="283"/>
              <w:jc w:val="center"/>
              <w:rPr>
                <w:b/>
              </w:rPr>
            </w:pPr>
            <w:r>
              <w:rPr>
                <w:b/>
              </w:rPr>
              <w:t>&lt;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Between 1</w:t>
              <w:br/>
              <w:t>and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Beyond</w:t>
            </w:r>
          </w:p>
        </w:tc>
        <w:tc>
          <w:tcPr>
            <w:tcW w:w="75" w:type="dxa"/>
            <w:tcBorders/>
            <w:tcMar>
              <w:bottom w:w="0" w:type="dxa"/>
            </w:tcMar>
            <w:vAlign w:val="center"/>
          </w:tcPr>
          <w:p>
            <w:pPr>
              <w:pStyle w:val="TableContents"/>
              <w:bidi w:val="0"/>
              <w:spacing w:before="0" w:after="283"/>
              <w:jc w:val="left"/>
              <w:rPr/>
            </w:pPr>
            <w:r>
              <w:rPr/>
              <w:t> </w:t>
            </w:r>
          </w:p>
        </w:tc>
      </w:tr>
      <w:tr>
        <w:trPr/>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Long-term borrowing from credit institutions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1,597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1,597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Issue of government loans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Other loans and financial debts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790" w:type="dxa"/>
            <w:tcBorders>
              <w:bottom w:val="single" w:sz="12" w:space="0" w:color="000000"/>
            </w:tcBorders>
            <w:shd w:fill="CCEEFF" w:val="clear"/>
            <w:vAlign w:val="center"/>
          </w:tcPr>
          <w:p>
            <w:pPr>
              <w:pStyle w:val="TableContents"/>
              <w:bidi w:val="0"/>
              <w:spacing w:before="0" w:after="283"/>
              <w:jc w:val="right"/>
              <w:rPr/>
            </w:pPr>
            <w:r>
              <w:rPr/>
              <w:t>4,887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763"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pPr>
            <w:r>
              <w:rPr/>
              <w:t>1,544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3,343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b/>
              </w:rPr>
            </w:pPr>
            <w:r>
              <w:rPr>
                <w:b/>
              </w:rPr>
              <w:t>Borrowings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FFFFFF" w:val="clear"/>
            <w:vAlign w:val="center"/>
          </w:tcPr>
          <w:p>
            <w:pPr>
              <w:pStyle w:val="TableContents"/>
              <w:bidi w:val="0"/>
              <w:spacing w:before="0" w:after="283"/>
              <w:jc w:val="left"/>
              <w:rPr/>
            </w:pPr>
            <w:r>
              <w:rPr/>
              <w:t> </w:t>
            </w:r>
          </w:p>
        </w:tc>
        <w:tc>
          <w:tcPr>
            <w:tcW w:w="790" w:type="dxa"/>
            <w:tcBorders>
              <w:bottom w:val="single" w:sz="12" w:space="0" w:color="000000"/>
            </w:tcBorders>
            <w:shd w:fill="FFFFFF" w:val="clear"/>
            <w:vAlign w:val="center"/>
          </w:tcPr>
          <w:p>
            <w:pPr>
              <w:pStyle w:val="TableContents"/>
              <w:bidi w:val="0"/>
              <w:spacing w:before="0" w:after="283"/>
              <w:jc w:val="right"/>
              <w:rPr>
                <w:b/>
              </w:rPr>
            </w:pPr>
            <w:r>
              <w:rPr>
                <w:b/>
              </w:rPr>
              <w:t>7,796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283"/>
              <w:jc w:val="right"/>
              <w:rPr>
                <w:b/>
              </w:rPr>
            </w:pPr>
            <w:r>
              <w:rPr>
                <w:b/>
              </w:rPr>
              <w:t>4,454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3,343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Long-term borrowing from credit institutions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2,549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Accrued interests on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137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Other loans and financial debts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790" w:type="dxa"/>
            <w:tcBorders/>
            <w:shd w:fill="FFFFFF" w:val="clear"/>
            <w:tcMar>
              <w:bottom w:w="0" w:type="dxa"/>
            </w:tcMar>
            <w:vAlign w:val="center"/>
          </w:tcPr>
          <w:p>
            <w:pPr>
              <w:pStyle w:val="TableContents"/>
              <w:bidi w:val="0"/>
              <w:spacing w:before="0" w:after="283"/>
              <w:jc w:val="right"/>
              <w:rPr/>
            </w:pPr>
            <w:r>
              <w:rPr/>
              <w:t>157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157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07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Current bank borrowings and overdrafts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790"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600" w:type="dxa"/>
            <w:tcBorders/>
            <w:shd w:fill="FFFFFF" w:val="clear"/>
            <w:tcMar>
              <w:bottom w:w="0" w:type="dxa"/>
            </w:tcMar>
            <w:vAlign w:val="center"/>
          </w:tcPr>
          <w:p>
            <w:pPr>
              <w:pStyle w:val="TableContents"/>
              <w:bidi w:val="0"/>
              <w:spacing w:before="0" w:after="283"/>
              <w:jc w:val="left"/>
              <w:rPr/>
            </w:pPr>
            <w:r>
              <w:rPr/>
              <w:t>Issue of government loans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FFFFFF" w:val="clear"/>
            <w:vAlign w:val="center"/>
          </w:tcPr>
          <w:p>
            <w:pPr>
              <w:pStyle w:val="TableContents"/>
              <w:bidi w:val="0"/>
              <w:spacing w:before="0" w:after="283"/>
              <w:jc w:val="left"/>
              <w:rPr/>
            </w:pPr>
            <w:r>
              <w:rPr/>
              <w:t> </w:t>
            </w:r>
          </w:p>
        </w:tc>
        <w:tc>
          <w:tcPr>
            <w:tcW w:w="790" w:type="dxa"/>
            <w:tcBorders>
              <w:bottom w:val="single" w:sz="12" w:space="0" w:color="000000"/>
            </w:tcBorders>
            <w:shd w:fill="FFFFFF" w:val="cle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FFFFFF" w:val="clear"/>
            <w:vAlign w:val="center"/>
          </w:tcPr>
          <w:p>
            <w:pPr>
              <w:pStyle w:val="TableContents"/>
              <w:bidi w:val="0"/>
              <w:spacing w:before="0" w:after="283"/>
              <w:jc w:val="left"/>
              <w:rPr/>
            </w:pPr>
            <w:r>
              <w:rPr/>
              <w:t> </w:t>
            </w:r>
          </w:p>
        </w:tc>
        <w:tc>
          <w:tcPr>
            <w:tcW w:w="763" w:type="dxa"/>
            <w:tcBorders>
              <w:bottom w:val="single" w:sz="12" w:space="0" w:color="000000"/>
            </w:tcBorders>
            <w:shd w:fill="FFFFFF" w:val="cle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075"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600" w:type="dxa"/>
            <w:tcBorders/>
            <w:shd w:fill="CCEEFF" w:val="clear"/>
            <w:tcMar>
              <w:bottom w:w="0" w:type="dxa"/>
            </w:tcMar>
            <w:vAlign w:val="center"/>
          </w:tcPr>
          <w:p>
            <w:pPr>
              <w:pStyle w:val="TableContents"/>
              <w:bidi w:val="0"/>
              <w:spacing w:before="0" w:after="283"/>
              <w:jc w:val="left"/>
              <w:rPr>
                <w:b/>
              </w:rPr>
            </w:pPr>
            <w:r>
              <w:rPr>
                <w:b/>
              </w:rPr>
              <w:t>Borrowings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790"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763" w:type="dxa"/>
            <w:tcBorders>
              <w:bottom w:val="single" w:sz="12" w:space="0" w:color="000000"/>
            </w:tcBorders>
            <w:shd w:fill="CCEEFF" w:val="clear"/>
            <w:vAlign w:val="center"/>
          </w:tcPr>
          <w:p>
            <w:pPr>
              <w:pStyle w:val="TableContents"/>
              <w:bidi w:val="0"/>
              <w:spacing w:before="0" w:after="283"/>
              <w:jc w:val="right"/>
              <w:rPr>
                <w:b/>
              </w:rPr>
            </w:pPr>
            <w:r>
              <w:rPr>
                <w:b/>
              </w:rPr>
              <w:t>2,854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 Breakdown of borrowings and other loans by maturity (undiscounted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23"/>
        <w:gridCol w:w="60"/>
        <w:gridCol w:w="102"/>
        <w:gridCol w:w="1173"/>
        <w:gridCol w:w="60"/>
        <w:gridCol w:w="60"/>
        <w:gridCol w:w="76"/>
        <w:gridCol w:w="721"/>
        <w:gridCol w:w="60"/>
        <w:gridCol w:w="60"/>
        <w:gridCol w:w="194"/>
        <w:gridCol w:w="1817"/>
        <w:gridCol w:w="60"/>
        <w:gridCol w:w="60"/>
        <w:gridCol w:w="77"/>
        <w:gridCol w:w="723"/>
        <w:gridCol w:w="79"/>
      </w:tblGrid>
      <w:tr>
        <w:trPr/>
        <w:tc>
          <w:tcPr>
            <w:tcW w:w="4823"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1275" w:type="dxa"/>
            <w:gridSpan w:val="2"/>
            <w:tcBorders>
              <w:bottom w:val="single" w:sz="12"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7" w:type="dxa"/>
            <w:gridSpan w:val="2"/>
            <w:tcBorders>
              <w:bottom w:val="single" w:sz="12" w:space="0" w:color="000000"/>
            </w:tcBorders>
            <w:vAlign w:val="center"/>
          </w:tcPr>
          <w:p>
            <w:pPr>
              <w:pStyle w:val="TableContents"/>
              <w:bidi w:val="0"/>
              <w:spacing w:before="0" w:after="283"/>
              <w:jc w:val="center"/>
              <w:rPr>
                <w:b/>
              </w:rPr>
            </w:pPr>
            <w:r>
              <w:rPr>
                <w:b/>
              </w:rPr>
              <w:t>&lt;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1" w:type="dxa"/>
            <w:gridSpan w:val="2"/>
            <w:tcBorders>
              <w:bottom w:val="single" w:sz="12" w:space="0" w:color="000000"/>
            </w:tcBorders>
            <w:vAlign w:val="center"/>
          </w:tcPr>
          <w:p>
            <w:pPr>
              <w:pStyle w:val="TableContents"/>
              <w:bidi w:val="0"/>
              <w:spacing w:before="0" w:after="283"/>
              <w:jc w:val="center"/>
              <w:rPr>
                <w:b/>
              </w:rPr>
            </w:pPr>
            <w:r>
              <w:rPr>
                <w:b/>
              </w:rPr>
              <w:t>Between 1 and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Beyond</w:t>
            </w:r>
          </w:p>
        </w:tc>
        <w:tc>
          <w:tcPr>
            <w:tcW w:w="79" w:type="dxa"/>
            <w:tcBorders/>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Long-term borrowing from credit institutions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1,870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1,870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Issue of investments and advances of the state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1,312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Other loans and financial debts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173" w:type="dxa"/>
            <w:tcBorders>
              <w:bottom w:val="single" w:sz="12" w:space="0" w:color="000000"/>
            </w:tcBorders>
            <w:shd w:fill="CCEEFF" w:val="clear"/>
            <w:vAlign w:val="center"/>
          </w:tcPr>
          <w:p>
            <w:pPr>
              <w:pStyle w:val="TableContents"/>
              <w:bidi w:val="0"/>
              <w:spacing w:before="0" w:after="283"/>
              <w:jc w:val="right"/>
              <w:rPr/>
            </w:pPr>
            <w:r>
              <w:rPr/>
              <w:t>8,599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817" w:type="dxa"/>
            <w:tcBorders>
              <w:bottom w:val="single" w:sz="12" w:space="0" w:color="000000"/>
            </w:tcBorders>
            <w:shd w:fill="CCEEFF" w:val="clear"/>
            <w:vAlign w:val="center"/>
          </w:tcPr>
          <w:p>
            <w:pPr>
              <w:pStyle w:val="TableContents"/>
              <w:bidi w:val="0"/>
              <w:spacing w:before="0" w:after="283"/>
              <w:jc w:val="right"/>
              <w:rPr/>
            </w:pPr>
            <w:r>
              <w:rPr/>
              <w:t>4,130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4,469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b/>
              </w:rPr>
            </w:pPr>
            <w:r>
              <w:rPr>
                <w:b/>
              </w:rPr>
              <w:t>Borrowings –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173" w:type="dxa"/>
            <w:tcBorders>
              <w:bottom w:val="single" w:sz="12" w:space="0" w:color="000000"/>
            </w:tcBorders>
            <w:shd w:fill="FFFFFF" w:val="clear"/>
            <w:vAlign w:val="center"/>
          </w:tcPr>
          <w:p>
            <w:pPr>
              <w:pStyle w:val="TableContents"/>
              <w:bidi w:val="0"/>
              <w:spacing w:before="0" w:after="283"/>
              <w:jc w:val="right"/>
              <w:rPr>
                <w:b/>
              </w:rPr>
            </w:pPr>
            <w:r>
              <w:rPr>
                <w:b/>
              </w:rPr>
              <w:t>11,782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FFFFFF" w:val="clear"/>
            <w:vAlign w:val="center"/>
          </w:tcPr>
          <w:p>
            <w:pPr>
              <w:pStyle w:val="TableContents"/>
              <w:bidi w:val="0"/>
              <w:spacing w:before="0" w:after="283"/>
              <w:jc w:val="left"/>
              <w:rPr/>
            </w:pPr>
            <w:r>
              <w:rPr/>
              <w:t> </w:t>
            </w:r>
          </w:p>
        </w:tc>
        <w:tc>
          <w:tcPr>
            <w:tcW w:w="1817" w:type="dxa"/>
            <w:tcBorders>
              <w:bottom w:val="single" w:sz="12" w:space="0" w:color="000000"/>
            </w:tcBorders>
            <w:shd w:fill="FFFFFF" w:val="clear"/>
            <w:vAlign w:val="center"/>
          </w:tcPr>
          <w:p>
            <w:pPr>
              <w:pStyle w:val="TableContents"/>
              <w:bidi w:val="0"/>
              <w:spacing w:before="0" w:after="283"/>
              <w:jc w:val="right"/>
              <w:rPr>
                <w:b/>
              </w:rPr>
            </w:pPr>
            <w:r>
              <w:rPr>
                <w:b/>
              </w:rPr>
              <w:t>7,312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4,469</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Long-term borrowing from credit institutions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2,802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2,802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Accrued interests on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Other loans and financial debts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73" w:type="dxa"/>
            <w:tcBorders/>
            <w:shd w:fill="CCEEFF" w:val="clear"/>
            <w:tcMar>
              <w:bottom w:w="0" w:type="dxa"/>
            </w:tcMar>
            <w:vAlign w:val="center"/>
          </w:tcPr>
          <w:p>
            <w:pPr>
              <w:pStyle w:val="TableContents"/>
              <w:bidi w:val="0"/>
              <w:spacing w:before="0" w:after="283"/>
              <w:jc w:val="right"/>
              <w:rPr/>
            </w:pPr>
            <w:r>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8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723"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pPr>
            <w:r>
              <w:rPr/>
              <w:t>Current bank borrowings and overdrafts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173" w:type="dxa"/>
            <w:tcBorders/>
            <w:shd w:fill="FFFFFF" w:val="clear"/>
            <w:tcMar>
              <w:bottom w:w="0" w:type="dxa"/>
            </w:tcMar>
            <w:vAlign w:val="center"/>
          </w:tcPr>
          <w:p>
            <w:pPr>
              <w:pStyle w:val="TableContents"/>
              <w:bidi w:val="0"/>
              <w:spacing w:before="0" w:after="283"/>
              <w:jc w:val="righ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81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723"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823" w:type="dxa"/>
            <w:tcBorders/>
            <w:shd w:fill="CCEEFF" w:val="clear"/>
            <w:tcMar>
              <w:bottom w:w="0" w:type="dxa"/>
            </w:tcMar>
            <w:vAlign w:val="center"/>
          </w:tcPr>
          <w:p>
            <w:pPr>
              <w:pStyle w:val="TableContents"/>
              <w:bidi w:val="0"/>
              <w:spacing w:before="0" w:after="283"/>
              <w:jc w:val="left"/>
              <w:rPr/>
            </w:pPr>
            <w:r>
              <w:rPr/>
              <w:t>Issue of investments and advances of the state -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173" w:type="dxa"/>
            <w:tcBorders>
              <w:bottom w:val="single" w:sz="12" w:space="0" w:color="000000"/>
            </w:tcBorders>
            <w:shd w:fill="CCEEFF" w:val="cle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81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723" w:type="dxa"/>
            <w:tcBorders>
              <w:bottom w:val="single" w:sz="12" w:space="0" w:color="000000"/>
            </w:tcBorders>
            <w:shd w:fill="CCEEFF" w:val="cle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823" w:type="dxa"/>
            <w:tcBorders/>
            <w:shd w:fill="FFFFFF" w:val="clear"/>
            <w:tcMar>
              <w:bottom w:w="0" w:type="dxa"/>
            </w:tcMar>
            <w:vAlign w:val="center"/>
          </w:tcPr>
          <w:p>
            <w:pPr>
              <w:pStyle w:val="TableContents"/>
              <w:bidi w:val="0"/>
              <w:spacing w:before="0" w:after="283"/>
              <w:jc w:val="left"/>
              <w:rPr>
                <w:b/>
              </w:rPr>
            </w:pPr>
            <w:r>
              <w:rPr>
                <w:b/>
              </w:rPr>
              <w:t>Borrowings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1173" w:type="dxa"/>
            <w:tcBorders>
              <w:bottom w:val="single" w:sz="12" w:space="0" w:color="000000"/>
            </w:tcBorders>
            <w:shd w:fill="FFFFFF" w:val="clear"/>
            <w:vAlign w:val="center"/>
          </w:tcPr>
          <w:p>
            <w:pPr>
              <w:pStyle w:val="TableContents"/>
              <w:bidi w:val="0"/>
              <w:spacing w:before="0" w:after="283"/>
              <w:jc w:val="right"/>
              <w:rPr>
                <w:b/>
              </w:rPr>
            </w:pPr>
            <w:r>
              <w:rPr>
                <w:b/>
              </w:rPr>
              <w:t>3,108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721" w:type="dxa"/>
            <w:tcBorders>
              <w:bottom w:val="single" w:sz="12" w:space="0" w:color="000000"/>
            </w:tcBorders>
            <w:shd w:fill="FFFFFF" w:val="clear"/>
            <w:vAlign w:val="center"/>
          </w:tcPr>
          <w:p>
            <w:pPr>
              <w:pStyle w:val="TableContents"/>
              <w:bidi w:val="0"/>
              <w:spacing w:before="0" w:after="283"/>
              <w:jc w:val="right"/>
              <w:rPr>
                <w:b/>
              </w:rPr>
            </w:pPr>
            <w:r>
              <w:rPr>
                <w:b/>
              </w:rPr>
              <w:t>3,108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FFFFFF" w:val="clear"/>
            <w:vAlign w:val="center"/>
          </w:tcPr>
          <w:p>
            <w:pPr>
              <w:pStyle w:val="TableContents"/>
              <w:bidi w:val="0"/>
              <w:spacing w:before="0" w:after="283"/>
              <w:jc w:val="left"/>
              <w:rPr/>
            </w:pPr>
            <w:r>
              <w:rPr/>
              <w:t> </w:t>
            </w:r>
          </w:p>
        </w:tc>
        <w:tc>
          <w:tcPr>
            <w:tcW w:w="1817"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FFFFFF" w:val="clear"/>
            <w:vAlign w:val="center"/>
          </w:tcPr>
          <w:p>
            <w:pPr>
              <w:pStyle w:val="TableContents"/>
              <w:bidi w:val="0"/>
              <w:spacing w:before="0" w:after="283"/>
              <w:jc w:val="left"/>
              <w:rPr/>
            </w:pPr>
            <w:r>
              <w:rPr/>
              <w:t> </w:t>
            </w:r>
          </w:p>
        </w:tc>
        <w:tc>
          <w:tcPr>
            <w:tcW w:w="723"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Share-based payments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1. Share-based payment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BSPCEs and options is provided in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associated with the share appreciation rights (SARs) awards is measured both at initial recognition and at each reporting date until settlement, based on the fair value of the SARs, determined using a Monte-Carlo simulation model that reflects the terms of the grant and the extent of services rendered by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SARs allocated in previous financial years as of June 30, 2026:</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3"/>
        <w:gridCol w:w="60"/>
        <w:gridCol w:w="63"/>
        <w:gridCol w:w="852"/>
        <w:gridCol w:w="60"/>
        <w:gridCol w:w="60"/>
        <w:gridCol w:w="85"/>
        <w:gridCol w:w="1142"/>
        <w:gridCol w:w="60"/>
        <w:gridCol w:w="60"/>
        <w:gridCol w:w="98"/>
        <w:gridCol w:w="1129"/>
        <w:gridCol w:w="60"/>
        <w:gridCol w:w="60"/>
        <w:gridCol w:w="79"/>
        <w:gridCol w:w="902"/>
        <w:gridCol w:w="60"/>
        <w:gridCol w:w="60"/>
        <w:gridCol w:w="93"/>
        <w:gridCol w:w="887"/>
        <w:gridCol w:w="60"/>
        <w:gridCol w:w="60"/>
        <w:gridCol w:w="85"/>
        <w:gridCol w:w="1135"/>
        <w:gridCol w:w="60"/>
        <w:gridCol w:w="60"/>
        <w:gridCol w:w="176"/>
        <w:gridCol w:w="706"/>
        <w:gridCol w:w="60"/>
        <w:gridCol w:w="60"/>
        <w:gridCol w:w="850"/>
      </w:tblGrid>
      <w:tr>
        <w:trPr/>
        <w:tc>
          <w:tcPr>
            <w:tcW w:w="1023" w:type="dxa"/>
            <w:tcBorders>
              <w:bottom w:val="single" w:sz="12" w:space="0" w:color="000000"/>
            </w:tcBorders>
            <w:vAlign w:val="center"/>
          </w:tcPr>
          <w:p>
            <w:pPr>
              <w:pStyle w:val="TableContents"/>
              <w:bidi w:val="0"/>
              <w:spacing w:before="0" w:after="283"/>
              <w:jc w:val="left"/>
              <w:rPr>
                <w:b/>
              </w:rPr>
            </w:pPr>
            <w:r>
              <w:rPr>
                <w:b/>
              </w:rPr>
              <w:t>Plan</w:t>
            </w:r>
          </w:p>
        </w:tc>
        <w:tc>
          <w:tcPr>
            <w:tcW w:w="60" w:type="dxa"/>
            <w:tcBorders/>
            <w:tcMar>
              <w:bottom w:w="0" w:type="dxa"/>
            </w:tcMar>
            <w:vAlign w:val="center"/>
          </w:tcPr>
          <w:p>
            <w:pPr>
              <w:pStyle w:val="TableContents"/>
              <w:bidi w:val="0"/>
              <w:spacing w:before="0" w:after="283"/>
              <w:jc w:val="left"/>
              <w:rPr/>
            </w:pPr>
            <w:r>
              <w:rPr/>
              <w:t> </w:t>
            </w:r>
          </w:p>
        </w:tc>
        <w:tc>
          <w:tcPr>
            <w:tcW w:w="915"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7"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7"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instruments </w:t>
              <w:br/>
              <w:t>to be vested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1"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cancelled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exercised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 xml:space="preserve">SAR </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2"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50" w:type="dxa"/>
            <w:tcBorders>
              <w:bottom w:val="single" w:sz="12" w:space="0" w:color="000000"/>
            </w:tcBorders>
            <w:vAlign w:val="center"/>
          </w:tcPr>
          <w:p>
            <w:pPr>
              <w:pStyle w:val="TableContents"/>
              <w:bidi w:val="0"/>
              <w:spacing w:before="0" w:after="283"/>
              <w:jc w:val="center"/>
              <w:rPr>
                <w:b/>
              </w:rPr>
            </w:pPr>
            <w:r>
              <w:rPr>
                <w:b/>
              </w:rPr>
              <w:t xml:space="preserve">Vesting </w:t>
              <w:br/>
              <w:t>Period</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146,100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103,500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40,700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103,500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14.85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17,700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8,700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6,200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11,500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73.17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06_2024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52,763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23,050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11,982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17,731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35,032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10_2024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4,180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1,080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2,660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1,520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04_2025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2,200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4,400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Aeponyx</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852" w:type="dxa"/>
            <w:tcBorders/>
            <w:shd w:fill="FFFFFF" w:val="clear"/>
            <w:tcMar>
              <w:bottom w:w="0" w:type="dxa"/>
            </w:tcMar>
            <w:vAlign w:val="center"/>
          </w:tcPr>
          <w:p>
            <w:pPr>
              <w:pStyle w:val="TableContents"/>
              <w:bidi w:val="0"/>
              <w:spacing w:before="0" w:after="283"/>
              <w:jc w:val="right"/>
              <w:rPr/>
            </w:pPr>
            <w:r>
              <w:rPr/>
              <w:t>32,400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42" w:type="dxa"/>
            <w:tcBorders/>
            <w:shd w:fill="FFFFFF" w:val="clear"/>
            <w:tcMar>
              <w:bottom w:w="0" w:type="dxa"/>
            </w:tcMar>
            <w:vAlign w:val="center"/>
          </w:tcPr>
          <w:p>
            <w:pPr>
              <w:pStyle w:val="TableContents"/>
              <w:bidi w:val="0"/>
              <w:spacing w:before="0" w:after="283"/>
              <w:jc w:val="right"/>
              <w:rPr/>
            </w:pPr>
            <w:r>
              <w:rPr/>
              <w:t>8,100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24,300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88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32,400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 years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SAR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52" w:type="dxa"/>
            <w:tcBorders/>
            <w:shd w:fill="CCEEFF" w:val="clear"/>
            <w:tcMar>
              <w:bottom w:w="0" w:type="dxa"/>
            </w:tcMar>
            <w:vAlign w:val="center"/>
          </w:tcPr>
          <w:p>
            <w:pPr>
              <w:pStyle w:val="TableContents"/>
              <w:bidi w:val="0"/>
              <w:spacing w:before="0" w:after="283"/>
              <w:jc w:val="right"/>
              <w:rPr/>
            </w:pPr>
            <w:r>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1,150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7,550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8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8,700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706" w:type="dxa"/>
            <w:tcBorders/>
            <w:shd w:fill="CCEEFF" w:val="clear"/>
            <w:tcMar>
              <w:bottom w:w="0" w:type="dxa"/>
            </w:tcMar>
            <w:vAlign w:val="center"/>
          </w:tcPr>
          <w:p>
            <w:pPr>
              <w:pStyle w:val="TableContents"/>
              <w:bidi w:val="0"/>
              <w:spacing w:before="0" w:after="283"/>
              <w:jc w:val="right"/>
              <w:rPr/>
            </w:pPr>
            <w:r>
              <w:rPr/>
              <w:t>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3 to 4 years</w:t>
            </w:r>
          </w:p>
        </w:tc>
      </w:tr>
      <w:tr>
        <w:trPr/>
        <w:tc>
          <w:tcPr>
            <w:tcW w:w="1023" w:type="dxa"/>
            <w:tcBorders/>
            <w:shd w:fill="FFFFFF" w:val="clear"/>
            <w:tcMar>
              <w:bottom w:w="0" w:type="dxa"/>
            </w:tcMar>
            <w:vAlign w:val="center"/>
          </w:tcPr>
          <w:p>
            <w:pPr>
              <w:pStyle w:val="TableContents"/>
              <w:bidi w:val="0"/>
              <w:spacing w:before="0" w:after="283"/>
              <w:jc w:val="left"/>
              <w:rPr>
                <w:b/>
              </w:rPr>
            </w:pPr>
            <w:r>
              <w:rPr>
                <w:b/>
              </w:rPr>
              <w:t>SAR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single" w:sz="12" w:space="0" w:color="000000"/>
            </w:tcBorders>
            <w:shd w:fill="FFFFFF" w:val="clear"/>
            <w:vAlign w:val="center"/>
          </w:tcPr>
          <w:p>
            <w:pPr>
              <w:pStyle w:val="TableContents"/>
              <w:bidi w:val="0"/>
              <w:spacing w:before="0" w:after="283"/>
              <w:jc w:val="left"/>
              <w:rPr/>
            </w:pPr>
            <w:r>
              <w:rPr/>
              <w:t> </w:t>
            </w:r>
          </w:p>
        </w:tc>
        <w:tc>
          <w:tcPr>
            <w:tcW w:w="852" w:type="dxa"/>
            <w:tcBorders>
              <w:bottom w:val="single" w:sz="12" w:space="0" w:color="000000"/>
            </w:tcBorders>
            <w:shd w:fill="FFFFFF" w:val="cle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42" w:type="dxa"/>
            <w:tcBorders>
              <w:bottom w:val="single" w:sz="12" w:space="0" w:color="000000"/>
            </w:tcBorders>
            <w:shd w:fill="FFFFFF" w:val="clear"/>
            <w:vAlign w:val="center"/>
          </w:tcPr>
          <w:p>
            <w:pPr>
              <w:pStyle w:val="TableContents"/>
              <w:bidi w:val="0"/>
              <w:spacing w:before="0" w:after="283"/>
              <w:jc w:val="right"/>
              <w:rPr/>
            </w:pPr>
            <w:r>
              <w:rPr/>
              <w:t>10,312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FFFFFF" w:val="clear"/>
            <w:vAlign w:val="center"/>
          </w:tcPr>
          <w:p>
            <w:pPr>
              <w:pStyle w:val="TableContents"/>
              <w:bidi w:val="0"/>
              <w:spacing w:before="0" w:after="283"/>
              <w:jc w:val="left"/>
              <w:rPr/>
            </w:pPr>
            <w:r>
              <w:rPr/>
              <w:t> </w:t>
            </w:r>
          </w:p>
        </w:tc>
        <w:tc>
          <w:tcPr>
            <w:tcW w:w="1129" w:type="dxa"/>
            <w:tcBorders>
              <w:bottom w:val="single" w:sz="12" w:space="0" w:color="000000"/>
            </w:tcBorders>
            <w:shd w:fill="FFFFFF" w:val="clear"/>
            <w:vAlign w:val="center"/>
          </w:tcPr>
          <w:p>
            <w:pPr>
              <w:pStyle w:val="TableContents"/>
              <w:bidi w:val="0"/>
              <w:spacing w:before="0" w:after="283"/>
              <w:jc w:val="right"/>
              <w:rPr/>
            </w:pPr>
            <w:r>
              <w:rPr/>
              <w:t>9,688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90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FFFFFF" w:val="clear"/>
            <w:vAlign w:val="center"/>
          </w:tcPr>
          <w:p>
            <w:pPr>
              <w:pStyle w:val="TableContents"/>
              <w:bidi w:val="0"/>
              <w:spacing w:before="0" w:after="283"/>
              <w:jc w:val="left"/>
              <w:rPr/>
            </w:pPr>
            <w:r>
              <w:rPr/>
              <w:t> </w:t>
            </w:r>
          </w:p>
        </w:tc>
        <w:tc>
          <w:tcPr>
            <w:tcW w:w="887"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FFFFFF" w:val="clear"/>
            <w:vAlign w:val="center"/>
          </w:tcPr>
          <w:p>
            <w:pPr>
              <w:pStyle w:val="TableContents"/>
              <w:bidi w:val="0"/>
              <w:spacing w:before="0" w:after="283"/>
              <w:jc w:val="left"/>
              <w:rPr/>
            </w:pPr>
            <w:r>
              <w:rPr/>
              <w:t> </w:t>
            </w:r>
          </w:p>
        </w:tc>
        <w:tc>
          <w:tcPr>
            <w:tcW w:w="1135" w:type="dxa"/>
            <w:tcBorders>
              <w:bottom w:val="single" w:sz="12" w:space="0" w:color="000000"/>
            </w:tcBorders>
            <w:shd w:fill="FFFFFF" w:val="clear"/>
            <w:vAlign w:val="center"/>
          </w:tcPr>
          <w:p>
            <w:pPr>
              <w:pStyle w:val="TableContents"/>
              <w:bidi w:val="0"/>
              <w:spacing w:before="0" w:after="283"/>
              <w:jc w:val="right"/>
              <w:rPr/>
            </w:pPr>
            <w:r>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w:t>
            </w:r>
          </w:p>
        </w:tc>
        <w:tc>
          <w:tcPr>
            <w:tcW w:w="706" w:type="dxa"/>
            <w:tcBorders/>
            <w:shd w:fill="FFFFFF" w:val="clear"/>
            <w:tcMar>
              <w:bottom w:w="0" w:type="dxa"/>
            </w:tcMar>
            <w:vAlign w:val="center"/>
          </w:tcPr>
          <w:p>
            <w:pPr>
              <w:pStyle w:val="TableContents"/>
              <w:bidi w:val="0"/>
              <w:spacing w:before="0" w:after="283"/>
              <w:jc w:val="right"/>
              <w:rPr/>
            </w:pPr>
            <w:r>
              <w:rPr/>
              <w:t>74.00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48 months</w:t>
            </w:r>
          </w:p>
        </w:tc>
      </w:tr>
      <w:tr>
        <w:trPr/>
        <w:tc>
          <w:tcPr>
            <w:tcW w:w="1023"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bottom w:val="single" w:sz="12" w:space="0" w:color="000000"/>
            </w:tcBorders>
            <w:shd w:fill="CCEEFF" w:val="clear"/>
            <w:vAlign w:val="center"/>
          </w:tcPr>
          <w:p>
            <w:pPr>
              <w:pStyle w:val="TableContents"/>
              <w:bidi w:val="0"/>
              <w:spacing w:before="0" w:after="283"/>
              <w:jc w:val="left"/>
              <w:rPr/>
            </w:pPr>
            <w:r>
              <w:rPr/>
              <w:t> </w:t>
            </w:r>
          </w:p>
        </w:tc>
        <w:tc>
          <w:tcPr>
            <w:tcW w:w="852" w:type="dxa"/>
            <w:tcBorders>
              <w:bottom w:val="single" w:sz="12" w:space="0" w:color="000000"/>
            </w:tcBorders>
            <w:shd w:fill="CCEEFF" w:val="clear"/>
            <w:vAlign w:val="center"/>
          </w:tcPr>
          <w:p>
            <w:pPr>
              <w:pStyle w:val="TableContents"/>
              <w:bidi w:val="0"/>
              <w:spacing w:before="0" w:after="283"/>
              <w:jc w:val="right"/>
              <w:rPr>
                <w:b/>
              </w:rPr>
            </w:pPr>
            <w:r>
              <w:rPr>
                <w:b/>
              </w:rPr>
              <w:t>286,243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b/>
              </w:rPr>
            </w:pPr>
            <w:r>
              <w:rPr>
                <w:b/>
              </w:rPr>
              <w:t>155,890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bottom w:val="single" w:sz="12" w:space="0" w:color="000000"/>
            </w:tcBorders>
            <w:shd w:fill="CCEEFF" w:val="clear"/>
            <w:vAlign w:val="center"/>
          </w:tcPr>
          <w:p>
            <w:pPr>
              <w:pStyle w:val="TableContents"/>
              <w:bidi w:val="0"/>
              <w:spacing w:before="0" w:after="283"/>
              <w:jc w:val="left"/>
              <w:rPr/>
            </w:pPr>
            <w:r>
              <w:rPr/>
              <w:t> </w:t>
            </w:r>
          </w:p>
        </w:tc>
        <w:tc>
          <w:tcPr>
            <w:tcW w:w="1129" w:type="dxa"/>
            <w:tcBorders>
              <w:bottom w:val="single" w:sz="12" w:space="0" w:color="000000"/>
            </w:tcBorders>
            <w:shd w:fill="CCEEFF" w:val="clear"/>
            <w:vAlign w:val="center"/>
          </w:tcPr>
          <w:p>
            <w:pPr>
              <w:pStyle w:val="TableContents"/>
              <w:bidi w:val="0"/>
              <w:spacing w:before="0" w:after="283"/>
              <w:jc w:val="right"/>
              <w:rPr>
                <w:b/>
              </w:rPr>
            </w:pPr>
            <w:r>
              <w:rPr>
                <w:b/>
              </w:rPr>
              <w:t>61,162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02" w:type="dxa"/>
            <w:tcBorders>
              <w:bottom w:val="single" w:sz="12" w:space="0" w:color="000000"/>
            </w:tcBorders>
            <w:shd w:fill="CCEEFF" w:val="clear"/>
            <w:vAlign w:val="center"/>
          </w:tcPr>
          <w:p>
            <w:pPr>
              <w:pStyle w:val="TableContents"/>
              <w:bidi w:val="0"/>
              <w:spacing w:before="0" w:after="283"/>
              <w:jc w:val="right"/>
              <w:rPr>
                <w:b/>
              </w:rPr>
            </w:pPr>
            <w:r>
              <w:rPr>
                <w:b/>
              </w:rPr>
              <w:t>67,291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887" w:type="dxa"/>
            <w:tcBorders>
              <w:bottom w:val="single" w:sz="12" w:space="0" w:color="000000"/>
            </w:tcBorders>
            <w:shd w:fill="CCEEFF" w:val="clear"/>
            <w:vAlign w:val="center"/>
          </w:tcPr>
          <w:p>
            <w:pPr>
              <w:pStyle w:val="TableContents"/>
              <w:bidi w:val="0"/>
              <w:spacing w:before="0" w:after="283"/>
              <w:jc w:val="right"/>
              <w:rPr>
                <w:b/>
              </w:rPr>
            </w:pPr>
            <w:r>
              <w:rPr>
                <w:b/>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bottom w:val="single" w:sz="12" w:space="0" w:color="000000"/>
            </w:tcBorders>
            <w:shd w:fill="CCEEFF" w:val="clear"/>
            <w:vAlign w:val="center"/>
          </w:tcPr>
          <w:p>
            <w:pPr>
              <w:pStyle w:val="TableContents"/>
              <w:bidi w:val="0"/>
              <w:spacing w:before="0" w:after="283"/>
              <w:jc w:val="left"/>
              <w:rPr/>
            </w:pPr>
            <w:r>
              <w:rPr/>
              <w:t> </w:t>
            </w:r>
          </w:p>
        </w:tc>
        <w:tc>
          <w:tcPr>
            <w:tcW w:w="1135" w:type="dxa"/>
            <w:tcBorders>
              <w:bottom w:val="single" w:sz="12" w:space="0" w:color="000000"/>
            </w:tcBorders>
            <w:shd w:fill="CCEEFF" w:val="clear"/>
            <w:vAlign w:val="center"/>
          </w:tcPr>
          <w:p>
            <w:pPr>
              <w:pStyle w:val="TableContents"/>
              <w:bidi w:val="0"/>
              <w:spacing w:before="0" w:after="283"/>
              <w:jc w:val="right"/>
              <w:rPr>
                <w:b/>
              </w:rPr>
            </w:pPr>
            <w:r>
              <w:rPr>
                <w:b/>
              </w:rPr>
              <w:t>217,052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70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 IFRS 2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breakdown of this expense by plan is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5286" w:type="dxa"/>
        <w:jc w:val="left"/>
        <w:tblInd w:w="0" w:type="dxa"/>
        <w:tblLayout w:type="fixed"/>
        <w:tblCellMar>
          <w:top w:w="0" w:type="dxa"/>
          <w:left w:w="0" w:type="dxa"/>
          <w:bottom w:w="0" w:type="dxa"/>
          <w:right w:w="0" w:type="dxa"/>
        </w:tblCellMar>
      </w:tblPr>
      <w:tblGrid>
        <w:gridCol w:w="1925"/>
        <w:gridCol w:w="60"/>
        <w:gridCol w:w="130"/>
        <w:gridCol w:w="1484"/>
        <w:gridCol w:w="130"/>
        <w:gridCol w:w="130"/>
        <w:gridCol w:w="130"/>
        <w:gridCol w:w="1222"/>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1925"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16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BSPCE</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23,143</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355</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Management option</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186</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192</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pPr>
            <w:r>
              <w:rPr/>
              <w:t>Free share plan</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pPr>
            <w:r>
              <w:rPr/>
              <w:t>SAR</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FFFFFF" w:val="clear"/>
            <w:tcMar>
              <w:bottom w:w="28" w:type="dxa"/>
            </w:tcMar>
            <w:vAlign w:val="center"/>
          </w:tcPr>
          <w:p>
            <w:pPr>
              <w:pStyle w:val="TableContents"/>
              <w:bidi w:val="0"/>
              <w:spacing w:before="0" w:after="283"/>
              <w:jc w:val="right"/>
              <w:rPr/>
            </w:pPr>
            <w:r>
              <w:rPr/>
              <w:t>4,000</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FFFFFF" w:val="clear"/>
            <w:tcMar>
              <w:bottom w:w="28" w:type="dxa"/>
            </w:tcMar>
            <w:vAlign w:val="center"/>
          </w:tcPr>
          <w:p>
            <w:pPr>
              <w:pStyle w:val="TableContents"/>
              <w:bidi w:val="0"/>
              <w:spacing w:before="0" w:after="283"/>
              <w:jc w:val="right"/>
              <w:rPr/>
            </w:pPr>
            <w:r>
              <w:rPr/>
              <w:t>472</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27,334</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(1)</w:t>
            </w:r>
          </w:p>
        </w:tc>
        <w:tc>
          <w:tcPr>
            <w:tcW w:w="9962" w:type="dxa"/>
            <w:tcBorders/>
            <w:vAlign w:val="center"/>
          </w:tcPr>
          <w:p>
            <w:pPr>
              <w:pStyle w:val="TableContents"/>
              <w:bidi w:val="0"/>
              <w:spacing w:before="0" w:after="283"/>
              <w:jc w:val="both"/>
              <w:rPr/>
            </w:pPr>
            <w:r>
              <w:rPr/>
              <w:t>The increase primarily reflects the recognition of share-based compensation expense relating to additional BSPCE grants awarded to certain executives, together with expense recognized in respect of existing share-based payment plans (see Notes 8.3 and 17 for further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this expense recognized against equity amounted to €23,334 thousand and was recorded within other reserves, whereas the portion recognized against liability amounted to €4,000 thousand and was recognized under employee benefit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were used in the valuation of the equity-settled plans granted during the first half of 2026 and the cash-settled plans, for the period ended June 30, 2026:</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2870"/>
        <w:gridCol w:w="60"/>
        <w:gridCol w:w="1700"/>
      </w:tblGrid>
      <w:tr>
        <w:trPr/>
        <w:tc>
          <w:tcPr>
            <w:tcW w:w="2870" w:type="dxa"/>
            <w:tcBorders>
              <w:bottom w:val="single" w:sz="12" w:space="0" w:color="000000"/>
            </w:tcBorders>
            <w:shd w:fill="FFFFFF" w:val="clear"/>
            <w:vAlign w:val="center"/>
          </w:tcPr>
          <w:p>
            <w:pPr>
              <w:pStyle w:val="TableContents"/>
              <w:bidi w:val="0"/>
              <w:spacing w:before="0" w:after="283"/>
              <w:jc w:val="left"/>
              <w:rPr>
                <w:b/>
              </w:rPr>
            </w:pPr>
            <w:r>
              <w:rPr>
                <w:b/>
              </w:rPr>
              <w:t>Assumption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bottom w:val="single" w:sz="12" w:space="0" w:color="000000"/>
            </w:tcBorders>
            <w:shd w:fill="FFFFFF" w:val="clear"/>
            <w:vAlign w:val="center"/>
          </w:tcPr>
          <w:p>
            <w:pPr>
              <w:pStyle w:val="TableContents"/>
              <w:bidi w:val="0"/>
              <w:spacing w:before="0" w:after="283"/>
              <w:jc w:val="center"/>
              <w:rPr>
                <w:b/>
              </w:rPr>
            </w:pPr>
            <w:r>
              <w:rPr>
                <w:b/>
              </w:rPr>
              <w:t>June 30,</w:t>
              <w:br/>
              <w:t>2026</w:t>
            </w:r>
          </w:p>
        </w:tc>
      </w:tr>
      <w:tr>
        <w:trPr/>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r>
        <w:trPr/>
        <w:tc>
          <w:tcPr>
            <w:tcW w:w="2870" w:type="dxa"/>
            <w:tcBorders/>
            <w:shd w:fill="CCEEFF" w:val="clear"/>
            <w:tcMar>
              <w:bottom w:w="0" w:type="dxa"/>
            </w:tcMar>
            <w:vAlign w:val="center"/>
          </w:tcPr>
          <w:p>
            <w:pPr>
              <w:pStyle w:val="TableContents"/>
              <w:bidi w:val="0"/>
              <w:spacing w:before="0" w:after="283"/>
              <w:jc w:val="left"/>
              <w:rPr/>
            </w:pPr>
            <w:r>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pPr>
            <w:r>
              <w:rPr/>
              <w:t>2.4% - 3.1%</w:t>
            </w:r>
          </w:p>
        </w:tc>
      </w:tr>
      <w:tr>
        <w:trPr/>
        <w:tc>
          <w:tcPr>
            <w:tcW w:w="2870" w:type="dxa"/>
            <w:tcBorders/>
            <w:shd w:fill="FFFFFF" w:val="clear"/>
            <w:tcMar>
              <w:bottom w:w="0" w:type="dxa"/>
            </w:tcMar>
            <w:vAlign w:val="center"/>
          </w:tcPr>
          <w:p>
            <w:pPr>
              <w:pStyle w:val="TableContents"/>
              <w:bidi w:val="0"/>
              <w:spacing w:before="0" w:after="283"/>
              <w:jc w:val="left"/>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120.3% - 132.8%</w:t>
            </w:r>
          </w:p>
        </w:tc>
      </w:tr>
      <w:tr>
        <w:trPr/>
        <w:tc>
          <w:tcPr>
            <w:tcW w:w="2870" w:type="dxa"/>
            <w:tcBorders/>
            <w:shd w:fill="CCEEFF" w:val="clear"/>
            <w:tcMar>
              <w:bottom w:w="0" w:type="dxa"/>
            </w:tcMar>
            <w:vAlign w:val="center"/>
          </w:tcPr>
          <w:p>
            <w:pPr>
              <w:pStyle w:val="TableContents"/>
              <w:bidi w:val="0"/>
              <w:spacing w:before="0" w:after="283"/>
              <w:jc w:val="left"/>
              <w:rPr/>
            </w:pPr>
            <w:r>
              <w:rPr/>
              <w:t>Expected exit horizon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jc w:val="center"/>
              <w:rPr/>
            </w:pPr>
            <w:r>
              <w:rPr/>
              <w:t>3.0 - 6.0 years</w:t>
            </w:r>
          </w:p>
        </w:tc>
      </w:tr>
      <w:tr>
        <w:trPr/>
        <w:tc>
          <w:tcPr>
            <w:tcW w:w="2870" w:type="dxa"/>
            <w:tcBorders/>
            <w:shd w:fill="FFFFFF" w:val="clear"/>
            <w:tcMar>
              <w:bottom w:w="0" w:type="dxa"/>
            </w:tcMar>
            <w:vAlign w:val="center"/>
          </w:tcPr>
          <w:p>
            <w:pPr>
              <w:pStyle w:val="TableContents"/>
              <w:bidi w:val="0"/>
              <w:spacing w:before="0" w:after="283"/>
              <w:jc w:val="left"/>
              <w:rPr/>
            </w:pPr>
            <w:r>
              <w:rPr/>
              <w:t>Fair value of underlying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w:t>
            </w:r>
            <w:r>
              <w:rPr/>
              <w:t>96.16 - €100.48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Risk-free rate: the risk-free rate applied in the valuation corresponds to the yield on French government bonds, using a maturity consistent with the expected exit horizon.</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left"/>
              <w:rPr/>
            </w:pPr>
            <w:r>
              <w:rPr/>
              <w:t>Exit date assumption: a probabilistic distribution of potential exit dates is applied.</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assumptions are not necessarily indicative of exercise patterns that may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Deferred income from 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Breakdown of deferred income from government grants is as follows:</w:t>
      </w:r>
    </w:p>
    <w:p>
      <w:pPr>
        <w:pStyle w:val="TextBody"/>
        <w:bidi w:val="0"/>
        <w:spacing w:before="0" w:after="0"/>
        <w:ind w:left="0" w:right="0" w:hanging="0"/>
        <w:jc w:val="left"/>
        <w:rPr>
          <w:caps w:val="false"/>
          <w:smallCaps w:val="false"/>
        </w:rPr>
      </w:pPr>
      <w:r>
        <w:rPr>
          <w:caps w:val="false"/>
          <w:smallCaps w:val="false"/>
        </w:rPr>
        <w:t> </w:t>
      </w:r>
    </w:p>
    <w:tbl>
      <w:tblPr>
        <w:tblW w:w="7963" w:type="dxa"/>
        <w:jc w:val="left"/>
        <w:tblInd w:w="0" w:type="dxa"/>
        <w:tblLayout w:type="fixed"/>
        <w:tblCellMar>
          <w:top w:w="0" w:type="dxa"/>
          <w:left w:w="0" w:type="dxa"/>
          <w:bottom w:w="28" w:type="dxa"/>
          <w:right w:w="0" w:type="dxa"/>
        </w:tblCellMar>
      </w:tblPr>
      <w:tblGrid>
        <w:gridCol w:w="5300"/>
        <w:gridCol w:w="60"/>
        <w:gridCol w:w="75"/>
        <w:gridCol w:w="859"/>
        <w:gridCol w:w="60"/>
        <w:gridCol w:w="60"/>
        <w:gridCol w:w="118"/>
        <w:gridCol w:w="1356"/>
        <w:gridCol w:w="75"/>
      </w:tblGrid>
      <w:tr>
        <w:trPr/>
        <w:tc>
          <w:tcPr>
            <w:tcW w:w="530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53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pPr>
            <w:r>
              <w:rPr/>
              <w:t>Deferred income from Government grants -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10,023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9,484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300" w:type="dxa"/>
            <w:tcBorders/>
            <w:shd w:fill="FFFFFF" w:val="clear"/>
            <w:tcMar>
              <w:bottom w:w="0" w:type="dxa"/>
            </w:tcMar>
            <w:vAlign w:val="center"/>
          </w:tcPr>
          <w:p>
            <w:pPr>
              <w:pStyle w:val="TableContents"/>
              <w:bidi w:val="0"/>
              <w:spacing w:before="0" w:after="283"/>
              <w:jc w:val="left"/>
              <w:rPr/>
            </w:pPr>
            <w:r>
              <w:rPr/>
              <w:t>Deferred income from Government grants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859" w:type="dxa"/>
            <w:tcBorders>
              <w:bottom w:val="single" w:sz="12" w:space="0" w:color="000000"/>
            </w:tcBorders>
            <w:shd w:fill="FFFFFF" w:val="clear"/>
            <w:vAlign w:val="center"/>
          </w:tcPr>
          <w:p>
            <w:pPr>
              <w:pStyle w:val="TableContents"/>
              <w:bidi w:val="0"/>
              <w:spacing w:before="0" w:after="283"/>
              <w:jc w:val="right"/>
              <w:rPr/>
            </w:pPr>
            <w:r>
              <w:rPr/>
              <w:t>6,931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7,409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300" w:type="dxa"/>
            <w:tcBorders/>
            <w:shd w:fill="CCEEFF" w:val="clear"/>
            <w:tcMar>
              <w:bottom w:w="0" w:type="dxa"/>
            </w:tcMar>
            <w:vAlign w:val="center"/>
          </w:tcPr>
          <w:p>
            <w:pPr>
              <w:pStyle w:val="TableContents"/>
              <w:bidi w:val="0"/>
              <w:spacing w:before="0" w:after="283"/>
              <w:jc w:val="left"/>
              <w:rPr>
                <w:b/>
              </w:rPr>
            </w:pPr>
            <w:r>
              <w:rPr>
                <w:b/>
              </w:rPr>
              <w:t>Total deferred income from Government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859" w:type="dxa"/>
            <w:tcBorders>
              <w:bottom w:val="single" w:sz="12" w:space="0" w:color="000000"/>
            </w:tcBorders>
            <w:shd w:fill="CCEEFF" w:val="clear"/>
            <w:vAlign w:val="center"/>
          </w:tcPr>
          <w:p>
            <w:pPr>
              <w:pStyle w:val="TableContents"/>
              <w:bidi w:val="0"/>
              <w:spacing w:before="0" w:after="283"/>
              <w:jc w:val="right"/>
              <w:rPr>
                <w:b/>
              </w:rPr>
            </w:pPr>
            <w:r>
              <w:rPr>
                <w:b/>
              </w:rPr>
              <w:t>16,955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16,893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deferred income from government grants mainly includes:</w:t>
      </w:r>
    </w:p>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95"/>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0" w:type="dxa"/>
            <w:tcBorders/>
            <w:vAlign w:val="center"/>
          </w:tcPr>
          <w:p>
            <w:pPr>
              <w:pStyle w:val="TableContents"/>
              <w:bidi w:val="0"/>
              <w:spacing w:before="0" w:after="283"/>
              <w:jc w:val="left"/>
              <w:rPr/>
            </w:pPr>
            <w:r>
              <w:rPr/>
              <w:t>€</w:t>
            </w:r>
            <w:r>
              <w:rPr/>
              <w:t>2,209 thousand related to Pasquops, recognized as non-current deferred income from government grants;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pPr>
            <w:r>
              <w:rPr/>
              <w:t>€</w:t>
            </w:r>
            <w:r>
              <w:rPr/>
              <w:t>1,081 thousand related to EIC Accelerator program, of which €582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6" w:type="dxa"/>
            <w:tcBorders/>
            <w:vAlign w:val="center"/>
          </w:tcPr>
          <w:p>
            <w:pPr>
              <w:pStyle w:val="TableContents"/>
              <w:bidi w:val="0"/>
              <w:spacing w:before="0" w:after="283"/>
              <w:jc w:val="left"/>
              <w:rPr/>
            </w:pPr>
            <w:r>
              <w:rPr/>
              <w:t>€</w:t>
            </w:r>
            <w:r>
              <w:rPr/>
              <w:t>1,269 thousand related to i-Nov, of which €1,250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17"/>
        <w:gridCol w:w="10042"/>
      </w:tblGrid>
      <w:tr>
        <w:trPr/>
        <w:tc>
          <w:tcPr>
            <w:tcW w:w="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2" w:type="dxa"/>
            <w:tcBorders/>
            <w:vAlign w:val="center"/>
          </w:tcPr>
          <w:p>
            <w:pPr>
              <w:pStyle w:val="TableContents"/>
              <w:bidi w:val="0"/>
              <w:spacing w:before="0" w:after="283"/>
              <w:jc w:val="left"/>
              <w:rPr/>
            </w:pPr>
            <w:r>
              <w:rPr/>
              <w:t>€</w:t>
            </w:r>
            <w:r>
              <w:rPr/>
              <w:t>987 thousand related to i-Demo, of which €741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8"/>
        <w:gridCol w:w="10055"/>
      </w:tblGrid>
      <w:tr>
        <w:trPr/>
        <w:tc>
          <w:tcPr>
            <w:tcW w:w="4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5" w:type="dxa"/>
            <w:tcBorders/>
            <w:vAlign w:val="center"/>
          </w:tcPr>
          <w:p>
            <w:pPr>
              <w:pStyle w:val="TableContents"/>
              <w:bidi w:val="0"/>
              <w:spacing w:before="0" w:after="283"/>
              <w:jc w:val="left"/>
              <w:rPr/>
            </w:pPr>
            <w:r>
              <w:rPr/>
              <w:t>€</w:t>
            </w:r>
            <w:r>
              <w:rPr/>
              <w:t>946 thousand related to Panda, recorded as current deferred income from government grants;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6" w:type="dxa"/>
            <w:tcBorders/>
            <w:vAlign w:val="center"/>
          </w:tcPr>
          <w:p>
            <w:pPr>
              <w:pStyle w:val="TableContents"/>
              <w:bidi w:val="0"/>
              <w:spacing w:before="0" w:after="283"/>
              <w:jc w:val="left"/>
              <w:rPr/>
            </w:pPr>
            <w:r>
              <w:rPr/>
              <w:t>€</w:t>
            </w:r>
            <w:r>
              <w:rPr/>
              <w:t>622 thousand related to CEPREQ, of which €457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w:t>
            </w:r>
            <w:r>
              <w:rPr/>
              <w:t>3,847 thousand related to the grant component of the BPI, Pasqal Canada Investissement Québec and IFA loans, classified as 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63" w:type="dxa"/>
            <w:tcBorders/>
            <w:vAlign w:val="center"/>
          </w:tcPr>
          <w:p>
            <w:pPr>
              <w:pStyle w:val="TableContents"/>
              <w:bidi w:val="0"/>
              <w:spacing w:before="0" w:after="283"/>
              <w:jc w:val="left"/>
              <w:rPr/>
            </w:pPr>
            <w:r>
              <w:rPr/>
              <w:t>€</w:t>
            </w:r>
            <w:r>
              <w:rPr/>
              <w:t>2,716 thousand related to the Korean grant, of which €1,901 thousand is classified as non-current.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w:t>
            </w:r>
            <w:r>
              <w:rPr/>
              <w:t>1,914 thousand related to the French Research Tax Credit (“CIR”), recognized as non-current deferred income from government grants.</w:t>
            </w:r>
          </w:p>
        </w:tc>
      </w:tr>
    </w:tbl>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Contract liabilities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amounts and movements during the period</w:t>
      </w:r>
    </w:p>
    <w:p>
      <w:pPr>
        <w:pStyle w:val="TextBody"/>
        <w:bidi w:val="0"/>
        <w:spacing w:before="0" w:after="0"/>
        <w:ind w:left="0" w:right="0" w:hanging="0"/>
        <w:jc w:val="left"/>
        <w:rPr>
          <w:caps w:val="false"/>
          <w:smallCaps w:val="false"/>
        </w:rPr>
      </w:pPr>
      <w:r>
        <w:rPr>
          <w:caps w:val="false"/>
          <w:smallCaps w:val="false"/>
        </w:rPr>
        <w:t> </w:t>
      </w:r>
    </w:p>
    <w:tbl>
      <w:tblPr>
        <w:tblW w:w="5354" w:type="dxa"/>
        <w:jc w:val="left"/>
        <w:tblInd w:w="0" w:type="dxa"/>
        <w:tblLayout w:type="fixed"/>
        <w:tblCellMar>
          <w:top w:w="0" w:type="dxa"/>
          <w:left w:w="0" w:type="dxa"/>
          <w:bottom w:w="28" w:type="dxa"/>
          <w:right w:w="0" w:type="dxa"/>
        </w:tblCellMar>
      </w:tblPr>
      <w:tblGrid>
        <w:gridCol w:w="4190"/>
        <w:gridCol w:w="60"/>
        <w:gridCol w:w="79"/>
        <w:gridCol w:w="915"/>
        <w:gridCol w:w="110"/>
      </w:tblGrid>
      <w:tr>
        <w:trPr/>
        <w:tc>
          <w:tcPr>
            <w:tcW w:w="419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 xml:space="preserve">Contract </w:t>
              <w:br/>
              <w:t>liabilities</w:t>
            </w:r>
          </w:p>
        </w:tc>
        <w:tc>
          <w:tcPr>
            <w:tcW w:w="110" w:type="dxa"/>
            <w:tcBorders/>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19,068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Billings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9,997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Revenue recognized from 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(6,127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90"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(1,012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90" w:type="dxa"/>
            <w:tcBorders/>
            <w:shd w:fill="CCEEFF" w:val="clear"/>
            <w:tcMar>
              <w:bottom w:w="0" w:type="dxa"/>
            </w:tcMar>
            <w:vAlign w:val="center"/>
          </w:tcPr>
          <w:p>
            <w:pPr>
              <w:pStyle w:val="TableContents"/>
              <w:bidi w:val="0"/>
              <w:spacing w:before="0" w:after="283"/>
              <w:jc w:val="left"/>
              <w:rPr>
                <w:sz w:val="20"/>
              </w:rPr>
            </w:pPr>
            <w:r>
              <w:rPr>
                <w:sz w:val="20"/>
              </w:rPr>
              <w:t xml:space="preserve">Interest accretion increase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2,718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Interest accretion release to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(1,667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22,977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Billings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5,445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Revenue recognized from 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(1,421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190" w:type="dxa"/>
            <w:tcBorders/>
            <w:shd w:fill="FFFFFF" w:val="clear"/>
            <w:tcMar>
              <w:bottom w:w="0" w:type="dxa"/>
            </w:tcMar>
            <w:vAlign w:val="center"/>
          </w:tcPr>
          <w:p>
            <w:pPr>
              <w:pStyle w:val="TableContents"/>
              <w:bidi w:val="0"/>
              <w:spacing w:before="0" w:after="283"/>
              <w:jc w:val="left"/>
              <w:rPr/>
            </w:pPr>
            <w:r>
              <w:rPr/>
              <w:t>Translation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sz w:val="20"/>
              </w:rPr>
            </w:pPr>
            <w:r>
              <w:rPr>
                <w:sz w:val="20"/>
              </w:rPr>
              <w:t xml:space="preserve">Interest accretion increase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1,185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Interest accretion release to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915"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b/>
              </w:rPr>
            </w:pPr>
            <w:r>
              <w:rPr>
                <w:b/>
              </w:rPr>
              <w:t>Contract liabilities at 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CCEEFF" w:val="clear"/>
            <w:vAlign w:val="center"/>
          </w:tcPr>
          <w:p>
            <w:pPr>
              <w:pStyle w:val="TableContents"/>
              <w:bidi w:val="0"/>
              <w:spacing w:before="0" w:after="283"/>
              <w:jc w:val="left"/>
              <w:rPr/>
            </w:pPr>
            <w:r>
              <w:rPr/>
              <w:t> </w:t>
            </w:r>
          </w:p>
        </w:tc>
        <w:tc>
          <w:tcPr>
            <w:tcW w:w="915" w:type="dxa"/>
            <w:tcBorders>
              <w:bottom w:val="single" w:sz="12" w:space="0" w:color="000000"/>
            </w:tcBorders>
            <w:shd w:fill="CCEEFF" w:val="clear"/>
            <w:vAlign w:val="center"/>
          </w:tcPr>
          <w:p>
            <w:pPr>
              <w:pStyle w:val="TableContents"/>
              <w:bidi w:val="0"/>
              <w:spacing w:before="0" w:after="283"/>
              <w:jc w:val="right"/>
              <w:rPr>
                <w:b/>
              </w:rPr>
            </w:pPr>
            <w:r>
              <w:rPr>
                <w:b/>
              </w:rPr>
              <w:t>28,237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i/>
                <w:position w:val="8"/>
                <w:sz w:val="19"/>
              </w:rPr>
            </w:pPr>
            <w:r>
              <w:rPr>
                <w:i/>
                <w:position w:val="8"/>
                <w:sz w:val="19"/>
              </w:rPr>
              <w:t>(1)</w:t>
            </w:r>
          </w:p>
        </w:tc>
        <w:tc>
          <w:tcPr>
            <w:tcW w:w="9929" w:type="dxa"/>
            <w:tcBorders/>
            <w:vAlign w:val="center"/>
          </w:tcPr>
          <w:p>
            <w:pPr>
              <w:pStyle w:val="TableContents"/>
              <w:bidi w:val="0"/>
              <w:spacing w:before="0" w:after="283"/>
              <w:jc w:val="both"/>
              <w:rPr>
                <w:i/>
              </w:rPr>
            </w:pPr>
            <w:r>
              <w:rPr>
                <w:i/>
              </w:rPr>
              <w:t>The accretion reflects the unwinding of discount related to significant financing component identified under IFRS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June 30, 2026, the increase mainly reflects the timing difference between the Group’s billing schedule and the satisfaction of its performance obligations, notably with respect to DistriQ.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in respect of the significant financing component amounted to €1,185 thousand for the period ended June 30, 2026 and €1,251 thousand for the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contract liabilities are expected to be settled within the Group’s normal operating cycle and are therefore classified as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Revenue</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 Breakdown of revenue</w:t>
      </w:r>
    </w:p>
    <w:p>
      <w:pPr>
        <w:pStyle w:val="TextBody"/>
        <w:bidi w:val="0"/>
        <w:spacing w:before="0" w:after="0"/>
        <w:ind w:left="0" w:right="0" w:hanging="0"/>
        <w:jc w:val="left"/>
        <w:rPr>
          <w:caps w:val="false"/>
          <w:smallCaps w:val="false"/>
        </w:rPr>
      </w:pPr>
      <w:r>
        <w:rPr>
          <w:caps w:val="false"/>
          <w:smallCaps w:val="false"/>
        </w:rPr>
        <w:t> </w:t>
      </w:r>
    </w:p>
    <w:tbl>
      <w:tblPr>
        <w:tblW w:w="6338" w:type="dxa"/>
        <w:jc w:val="left"/>
        <w:tblInd w:w="0" w:type="dxa"/>
        <w:tblLayout w:type="fixed"/>
        <w:tblCellMar>
          <w:top w:w="0" w:type="dxa"/>
          <w:left w:w="0" w:type="dxa"/>
          <w:bottom w:w="0" w:type="dxa"/>
          <w:right w:w="0" w:type="dxa"/>
        </w:tblCellMar>
      </w:tblPr>
      <w:tblGrid>
        <w:gridCol w:w="2975"/>
        <w:gridCol w:w="60"/>
        <w:gridCol w:w="142"/>
        <w:gridCol w:w="1330"/>
        <w:gridCol w:w="142"/>
        <w:gridCol w:w="142"/>
        <w:gridCol w:w="142"/>
        <w:gridCol w:w="1330"/>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2975"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QPU sales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3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sz w:val="20"/>
              </w:rPr>
            </w:pPr>
            <w:r>
              <w:rPr>
                <w:sz w:val="20"/>
              </w:rPr>
              <w:t xml:space="preserve">QPU-related services </w:t>
            </w:r>
            <w:r>
              <w:rPr>
                <w:position w:val="7"/>
                <w:sz w:val="16"/>
                <w:sz w:val="20"/>
              </w:rPr>
              <w:t xml:space="preserve">(1)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3,944</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pPr>
            <w:r>
              <w:rPr/>
              <w:t>2,943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Cryostat sales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CCEEFF" w:val="clear"/>
            <w:tcMar>
              <w:bottom w:w="28" w:type="dxa"/>
            </w:tcMar>
            <w:vAlign w:val="center"/>
          </w:tcPr>
          <w:p>
            <w:pPr>
              <w:pStyle w:val="TableContents"/>
              <w:bidi w:val="0"/>
              <w:spacing w:before="0" w:after="283"/>
              <w:jc w:val="right"/>
              <w:rPr/>
            </w:pPr>
            <w:r>
              <w:rPr/>
              <w:t>927</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CCEEFF" w:val="clear"/>
            <w:tcMar>
              <w:bottom w:w="28" w:type="dxa"/>
            </w:tcMar>
            <w:vAlign w:val="center"/>
          </w:tcPr>
          <w:p>
            <w:pPr>
              <w:pStyle w:val="TableContents"/>
              <w:bidi w:val="0"/>
              <w:spacing w:before="0" w:after="283"/>
              <w:jc w:val="right"/>
              <w:rPr/>
            </w:pPr>
            <w:r>
              <w:rPr/>
              <w:t>1,342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b/>
              </w:rPr>
            </w:pPr>
            <w:r>
              <w:rPr>
                <w:b/>
              </w:rPr>
              <w:t>Total by products or services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4,872</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4,286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i/>
              </w:rPr>
            </w:pPr>
            <w:r>
              <w:rPr>
                <w:i/>
              </w:rPr>
              <w:t>(1)</w:t>
            </w:r>
          </w:p>
        </w:tc>
        <w:tc>
          <w:tcPr>
            <w:tcW w:w="9908" w:type="dxa"/>
            <w:tcBorders/>
            <w:vAlign w:val="center"/>
          </w:tcPr>
          <w:p>
            <w:pPr>
              <w:pStyle w:val="TableContents"/>
              <w:bidi w:val="0"/>
              <w:spacing w:before="0" w:after="283"/>
              <w:jc w:val="left"/>
              <w:rPr>
                <w:i/>
              </w:rPr>
            </w:pPr>
            <w:r>
              <w:rPr>
                <w:i/>
              </w:rPr>
              <w:t xml:space="preserve">QPU-related services are mainly made of R&amp;D services for €2,889 thousand (€2,943 thousand in 2025) and QPU upgrade services for €750 thousand (nil in 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44" w:type="dxa"/>
        <w:jc w:val="left"/>
        <w:tblInd w:w="0" w:type="dxa"/>
        <w:tblLayout w:type="fixed"/>
        <w:tblCellMar>
          <w:top w:w="0" w:type="dxa"/>
          <w:left w:w="0" w:type="dxa"/>
          <w:bottom w:w="0" w:type="dxa"/>
          <w:right w:w="0" w:type="dxa"/>
        </w:tblCellMar>
      </w:tblPr>
      <w:tblGrid>
        <w:gridCol w:w="1670"/>
        <w:gridCol w:w="60"/>
        <w:gridCol w:w="84"/>
        <w:gridCol w:w="790"/>
        <w:gridCol w:w="72"/>
        <w:gridCol w:w="72"/>
        <w:gridCol w:w="72"/>
        <w:gridCol w:w="457"/>
        <w:gridCol w:w="313"/>
        <w:gridCol w:w="72"/>
        <w:gridCol w:w="90"/>
        <w:gridCol w:w="844"/>
        <w:gridCol w:w="72"/>
        <w:gridCol w:w="72"/>
        <w:gridCol w:w="72"/>
        <w:gridCol w:w="457"/>
        <w:gridCol w:w="2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3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275" w:type="dxa"/>
            <w:tcBorders/>
            <w:vAlign w:val="center"/>
          </w:tcPr>
          <w:p>
            <w:pPr>
              <w:pStyle w:val="TableContents"/>
              <w:bidi w:val="0"/>
              <w:spacing w:before="0" w:after="283"/>
              <w:jc w:val="left"/>
              <w:rPr/>
            </w:pPr>
            <w:r>
              <w:rPr/>
              <w:t> </w:t>
            </w:r>
          </w:p>
        </w:tc>
      </w:tr>
      <w:tr>
        <w:trPr/>
        <w:tc>
          <w:tcPr>
            <w:tcW w:w="1670" w:type="dxa"/>
            <w:tcBorders>
              <w:bottom w:val="single" w:sz="12" w:space="0" w:color="000000"/>
            </w:tcBorders>
            <w:tcMar>
              <w:bottom w:w="28" w:type="dxa"/>
            </w:tcMar>
            <w:vAlign w:val="center"/>
          </w:tcPr>
          <w:p>
            <w:pPr>
              <w:pStyle w:val="TableContents"/>
              <w:bidi w:val="0"/>
              <w:spacing w:before="0" w:after="283"/>
              <w:jc w:val="left"/>
              <w:rPr/>
            </w:pPr>
            <w:r>
              <w:rPr/>
              <w:t>in € thousand</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31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529"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France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3,145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65</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3,213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75</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Germany</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806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17</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9</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0</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Rest of Europe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335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7</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448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11</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Saudi Arabia</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310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6</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38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1</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North America</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271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6</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157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right"/>
              <w:rPr>
                <w:b/>
              </w:rPr>
            </w:pPr>
            <w:r>
              <w:rPr>
                <w:b/>
              </w:rPr>
              <w:t>4</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pPr>
            <w:r>
              <w:rPr/>
              <w:t>Asia Pacific</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w:t>
            </w:r>
          </w:p>
        </w:tc>
        <w:tc>
          <w:tcPr>
            <w:tcW w:w="313"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208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right"/>
              <w:rPr>
                <w:b/>
              </w:rPr>
            </w:pPr>
            <w:r>
              <w:rPr>
                <w:b/>
              </w:rPr>
              <w:t>4</w:t>
            </w:r>
          </w:p>
        </w:tc>
        <w:tc>
          <w:tcPr>
            <w:tcW w:w="275" w:type="dxa"/>
            <w:tcBorders/>
            <w:shd w:fill="FFFFFF" w:val="clear"/>
            <w:vAlign w:val="center"/>
          </w:tcPr>
          <w:p>
            <w:pPr>
              <w:pStyle w:val="TableContents"/>
              <w:bidi w:val="0"/>
              <w:spacing w:before="0" w:after="283"/>
              <w:jc w:val="left"/>
              <w:rPr>
                <w:b/>
              </w:rPr>
            </w:pPr>
            <w:r>
              <w:rPr>
                <w:b/>
              </w:rPr>
              <w:t>%</w:t>
            </w:r>
          </w:p>
        </w:tc>
      </w:tr>
      <w:tr>
        <w:trPr/>
        <w:tc>
          <w:tcPr>
            <w:tcW w:w="1670" w:type="dxa"/>
            <w:tcBorders/>
            <w:shd w:fill="CCEEFF" w:val="clear"/>
            <w:vAlign w:val="center"/>
          </w:tcPr>
          <w:p>
            <w:pPr>
              <w:pStyle w:val="TableContents"/>
              <w:bidi w:val="0"/>
              <w:spacing w:before="0" w:after="283"/>
              <w:jc w:val="left"/>
              <w:rPr/>
            </w:pPr>
            <w:r>
              <w:rPr/>
              <w:t>Rest of the world</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0</w:t>
            </w:r>
          </w:p>
        </w:tc>
        <w:tc>
          <w:tcPr>
            <w:tcW w:w="313" w:type="dxa"/>
            <w:tcBorders/>
            <w:shd w:fill="CCEEFF" w:val="clear"/>
            <w:vAlign w:val="center"/>
          </w:tcPr>
          <w:p>
            <w:pPr>
              <w:pStyle w:val="TableContents"/>
              <w:bidi w:val="0"/>
              <w:spacing w:before="0" w:after="283"/>
              <w:jc w:val="left"/>
              <w:rPr>
                <w:b/>
              </w:rPr>
            </w:pPr>
            <w:r>
              <w:rPr>
                <w:b/>
              </w:rPr>
              <w:t>%</w:t>
            </w:r>
          </w:p>
        </w:tc>
        <w:tc>
          <w:tcPr>
            <w:tcW w:w="72"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center"/>
          </w:tcPr>
          <w:p>
            <w:pPr>
              <w:pStyle w:val="TableContents"/>
              <w:bidi w:val="0"/>
              <w:spacing w:before="0" w:after="283"/>
              <w:jc w:val="right"/>
              <w:rPr/>
            </w:pPr>
            <w:r>
              <w:rPr/>
              <w:t>212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w:t>
            </w:r>
          </w:p>
        </w:tc>
        <w:tc>
          <w:tcPr>
            <w:tcW w:w="275" w:type="dxa"/>
            <w:tcBorders/>
            <w:shd w:fill="CCEEFF" w:val="clear"/>
            <w:vAlign w:val="center"/>
          </w:tcPr>
          <w:p>
            <w:pPr>
              <w:pStyle w:val="TableContents"/>
              <w:bidi w:val="0"/>
              <w:spacing w:before="0" w:after="283"/>
              <w:jc w:val="left"/>
              <w:rPr>
                <w:b/>
              </w:rPr>
            </w:pPr>
            <w:r>
              <w:rPr>
                <w:b/>
              </w:rPr>
              <w:t>%</w:t>
            </w:r>
          </w:p>
        </w:tc>
      </w:tr>
      <w:tr>
        <w:trPr/>
        <w:tc>
          <w:tcPr>
            <w:tcW w:w="167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4,872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w:t>
            </w:r>
          </w:p>
        </w:tc>
        <w:tc>
          <w:tcPr>
            <w:tcW w:w="313" w:type="dxa"/>
            <w:tcBorders/>
            <w:shd w:fill="FFFFFF" w:val="clear"/>
            <w:vAlign w:val="center"/>
          </w:tcPr>
          <w:p>
            <w:pPr>
              <w:pStyle w:val="TableContents"/>
              <w:bidi w:val="0"/>
              <w:spacing w:before="0" w:after="283"/>
              <w:jc w:val="left"/>
              <w:rPr>
                <w:b/>
              </w:rPr>
            </w:pPr>
            <w:r>
              <w:rPr>
                <w:b/>
              </w:rPr>
              <w:t>%</w:t>
            </w:r>
          </w:p>
        </w:tc>
        <w:tc>
          <w:tcPr>
            <w:tcW w:w="72"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4,286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two customers each accounted for more than 10% of the Group’s consolidated revenue, generated from QPU-related services in France and Germany. These two customers together accounted for 66% of the Group’s consolidated revenue (€3,206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one customer accounted for more than 10% of the Group’s consolidated revenue, generated from QPU-related services in France. This customer accounted for 51% of the Group’s consolidated revenue (€2,200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order book (firm orders not fulfilled) and the provisional schedule for the fulfilment of the unfulfilled performance obligations is as follows:</w:t>
      </w:r>
    </w:p>
    <w:p>
      <w:pPr>
        <w:pStyle w:val="TextBody"/>
        <w:bidi w:val="0"/>
        <w:spacing w:before="0" w:after="0"/>
        <w:ind w:left="0" w:right="0" w:hanging="0"/>
        <w:jc w:val="left"/>
        <w:rPr>
          <w:caps w:val="false"/>
          <w:smallCaps w:val="false"/>
        </w:rPr>
      </w:pPr>
      <w:r>
        <w:rPr>
          <w:caps w:val="false"/>
          <w:smallCaps w:val="false"/>
        </w:rPr>
        <w:t> </w:t>
      </w:r>
    </w:p>
    <w:tbl>
      <w:tblPr>
        <w:tblW w:w="5574" w:type="dxa"/>
        <w:jc w:val="left"/>
        <w:tblInd w:w="0" w:type="dxa"/>
        <w:tblLayout w:type="fixed"/>
        <w:tblCellMar>
          <w:top w:w="0" w:type="dxa"/>
          <w:left w:w="0" w:type="dxa"/>
          <w:bottom w:w="28" w:type="dxa"/>
          <w:right w:w="0" w:type="dxa"/>
        </w:tblCellMar>
      </w:tblPr>
      <w:tblGrid>
        <w:gridCol w:w="4565"/>
        <w:gridCol w:w="60"/>
        <w:gridCol w:w="70"/>
        <w:gridCol w:w="804"/>
        <w:gridCol w:w="75"/>
      </w:tblGrid>
      <w:tr>
        <w:trPr/>
        <w:tc>
          <w:tcPr>
            <w:tcW w:w="4565" w:type="dxa"/>
            <w:tcBorders>
              <w:bottom w:val="single" w:sz="12" w:space="0" w:color="000000"/>
            </w:tcBorders>
            <w:vAlign w:val="center"/>
          </w:tcPr>
          <w:p>
            <w:pPr>
              <w:pStyle w:val="TableContents"/>
              <w:bidi w:val="0"/>
              <w:spacing w:before="0" w:after="283"/>
              <w:jc w:val="left"/>
              <w:rPr>
                <w:i/>
              </w:rPr>
            </w:pPr>
            <w:r>
              <w:rPr>
                <w:i/>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75" w:type="dxa"/>
            <w:tcBorders/>
            <w:tcMar>
              <w:bottom w:w="0" w:type="dxa"/>
            </w:tcMar>
            <w:vAlign w:val="center"/>
          </w:tcPr>
          <w:p>
            <w:pPr>
              <w:pStyle w:val="TableContents"/>
              <w:bidi w:val="0"/>
              <w:spacing w:before="0" w:after="283"/>
              <w:jc w:val="left"/>
              <w:rPr/>
            </w:pPr>
            <w:r>
              <w:rPr/>
              <w:t> </w:t>
            </w:r>
          </w:p>
        </w:tc>
      </w:tr>
      <w:tr>
        <w:trPr/>
        <w:tc>
          <w:tcPr>
            <w:tcW w:w="4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pPr>
            <w:r>
              <w:rPr/>
              <w:t>Completion expected in the second half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12,491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65" w:type="dxa"/>
            <w:tcBorders/>
            <w:shd w:fill="FFFFFF" w:val="clear"/>
            <w:tcMar>
              <w:bottom w:w="0" w:type="dxa"/>
            </w:tcMar>
            <w:vAlign w:val="center"/>
          </w:tcPr>
          <w:p>
            <w:pPr>
              <w:pStyle w:val="TableContents"/>
              <w:bidi w:val="0"/>
              <w:spacing w:before="0" w:after="283"/>
              <w:jc w:val="left"/>
              <w:rPr/>
            </w:pPr>
            <w:r>
              <w:rPr/>
              <w:t>Completion expected in 2027 and beyond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804" w:type="dxa"/>
            <w:tcBorders>
              <w:bottom w:val="single" w:sz="12" w:space="0" w:color="000000"/>
            </w:tcBorders>
            <w:shd w:fill="FFFFFF" w:val="clear"/>
            <w:vAlign w:val="center"/>
          </w:tcPr>
          <w:p>
            <w:pPr>
              <w:pStyle w:val="TableContents"/>
              <w:bidi w:val="0"/>
              <w:spacing w:before="0" w:after="283"/>
              <w:jc w:val="right"/>
              <w:rPr/>
            </w:pPr>
            <w:r>
              <w:rPr/>
              <w:t>24,300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b/>
              </w:rPr>
            </w:pPr>
            <w:r>
              <w:rPr>
                <w:b/>
              </w:rPr>
              <w:t>Total order book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804" w:type="dxa"/>
            <w:tcBorders>
              <w:bottom w:val="single" w:sz="12" w:space="0" w:color="000000"/>
            </w:tcBorders>
            <w:shd w:fill="CCEEFF" w:val="clear"/>
            <w:vAlign w:val="center"/>
          </w:tcPr>
          <w:p>
            <w:pPr>
              <w:pStyle w:val="TableContents"/>
              <w:bidi w:val="0"/>
              <w:spacing w:before="0" w:after="283"/>
              <w:jc w:val="right"/>
              <w:rPr>
                <w:b/>
              </w:rPr>
            </w:pPr>
            <w:r>
              <w:rPr>
                <w:b/>
              </w:rPr>
              <w:t>36,791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Unfulfilled performance obligations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5604" w:type="dxa"/>
        <w:jc w:val="left"/>
        <w:tblInd w:w="0" w:type="dxa"/>
        <w:tblLayout w:type="fixed"/>
        <w:tblCellMar>
          <w:top w:w="0" w:type="dxa"/>
          <w:left w:w="0" w:type="dxa"/>
          <w:bottom w:w="28" w:type="dxa"/>
          <w:right w:w="0" w:type="dxa"/>
        </w:tblCellMar>
      </w:tblPr>
      <w:tblGrid>
        <w:gridCol w:w="3995"/>
        <w:gridCol w:w="60"/>
        <w:gridCol w:w="118"/>
        <w:gridCol w:w="1356"/>
        <w:gridCol w:w="75"/>
      </w:tblGrid>
      <w:tr>
        <w:trPr/>
        <w:tc>
          <w:tcPr>
            <w:tcW w:w="3995" w:type="dxa"/>
            <w:tcBorders>
              <w:bottom w:val="single" w:sz="12" w:space="0" w:color="000000"/>
            </w:tcBorders>
            <w:vAlign w:val="center"/>
          </w:tcPr>
          <w:p>
            <w:pPr>
              <w:pStyle w:val="TableContents"/>
              <w:bidi w:val="0"/>
              <w:spacing w:before="0" w:after="283"/>
              <w:jc w:val="left"/>
              <w:rPr>
                <w:i/>
              </w:rPr>
            </w:pPr>
            <w:r>
              <w:rPr>
                <w:i/>
              </w:rPr>
              <w:t>in € thousand</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pPr>
            <w:r>
              <w:rPr/>
              <w:t>Completion expected in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356" w:type="dxa"/>
            <w:tcBorders/>
            <w:shd w:fill="CCEEFF" w:val="clear"/>
            <w:tcMar>
              <w:bottom w:w="0" w:type="dxa"/>
            </w:tcMar>
            <w:vAlign w:val="center"/>
          </w:tcPr>
          <w:p>
            <w:pPr>
              <w:pStyle w:val="TableContents"/>
              <w:bidi w:val="0"/>
              <w:spacing w:before="0" w:after="283"/>
              <w:jc w:val="right"/>
              <w:rPr/>
            </w:pPr>
            <w:r>
              <w:rPr/>
              <w:t>15,288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995" w:type="dxa"/>
            <w:tcBorders/>
            <w:shd w:fill="FFFFFF" w:val="clear"/>
            <w:tcMar>
              <w:bottom w:w="0" w:type="dxa"/>
            </w:tcMar>
            <w:vAlign w:val="center"/>
          </w:tcPr>
          <w:p>
            <w:pPr>
              <w:pStyle w:val="TableContents"/>
              <w:bidi w:val="0"/>
              <w:spacing w:before="0" w:after="283"/>
              <w:jc w:val="left"/>
              <w:rPr/>
            </w:pPr>
            <w:r>
              <w:rPr/>
              <w:t>Completion expected in 2027 and beyond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356" w:type="dxa"/>
            <w:tcBorders>
              <w:bottom w:val="single" w:sz="12" w:space="0" w:color="000000"/>
            </w:tcBorders>
            <w:shd w:fill="FFFFFF" w:val="clear"/>
            <w:vAlign w:val="center"/>
          </w:tcPr>
          <w:p>
            <w:pPr>
              <w:pStyle w:val="TableContents"/>
              <w:bidi w:val="0"/>
              <w:spacing w:before="0" w:after="283"/>
              <w:jc w:val="right"/>
              <w:rPr/>
            </w:pPr>
            <w:r>
              <w:rPr/>
              <w:t>20,144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995" w:type="dxa"/>
            <w:tcBorders/>
            <w:shd w:fill="CCEEFF" w:val="clear"/>
            <w:tcMar>
              <w:bottom w:w="0" w:type="dxa"/>
            </w:tcMar>
            <w:vAlign w:val="center"/>
          </w:tcPr>
          <w:p>
            <w:pPr>
              <w:pStyle w:val="TableContents"/>
              <w:bidi w:val="0"/>
              <w:spacing w:before="0" w:after="283"/>
              <w:jc w:val="left"/>
              <w:rPr>
                <w:b/>
              </w:rPr>
            </w:pPr>
            <w:r>
              <w:rPr>
                <w:b/>
              </w:rPr>
              <w:t>Total order book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CCEEFF" w:val="clear"/>
            <w:vAlign w:val="center"/>
          </w:tcPr>
          <w:p>
            <w:pPr>
              <w:pStyle w:val="TableContents"/>
              <w:bidi w:val="0"/>
              <w:spacing w:before="0" w:after="283"/>
              <w:jc w:val="left"/>
              <w:rPr/>
            </w:pPr>
            <w:r>
              <w:rPr/>
              <w:t> </w:t>
            </w:r>
          </w:p>
        </w:tc>
        <w:tc>
          <w:tcPr>
            <w:tcW w:w="1356" w:type="dxa"/>
            <w:tcBorders>
              <w:bottom w:val="single" w:sz="12" w:space="0" w:color="000000"/>
            </w:tcBorders>
            <w:shd w:fill="CCEEFF" w:val="clear"/>
            <w:vAlign w:val="center"/>
          </w:tcPr>
          <w:p>
            <w:pPr>
              <w:pStyle w:val="TableContents"/>
              <w:bidi w:val="0"/>
              <w:spacing w:before="0" w:after="283"/>
              <w:jc w:val="right"/>
              <w:rPr>
                <w:b/>
              </w:rPr>
            </w:pPr>
            <w:r>
              <w:rPr>
                <w:b/>
              </w:rPr>
              <w:t>35,432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expected revenue was included for Quebec Inc. due to the significant uncertainty on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Professional services and other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services primarily comprise fees for outsourced activities, including external professional services, lease expenses that fall outside the scope of IFRS 16 – Leases, and other miscellaneous expenses. For the six-month period ended June 30, 2026, professional services and other services amounted to €19,553 thousand (compared with €8,261 thousand for the six-month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was primarily driven by higher fees for external professional services fees, which amounted to €15,501 thousand for the six-month ended June 30, 2026, compared with €4,552 thousand for the corresponding period in 2025. These fees mainly comprise legal, consulting and audit fees incurred in connection with the completion of the Business Combination Agreement and the related listing process (see Note 20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allocation of income tax expense between current and deferred taxes:</w:t>
      </w:r>
    </w:p>
    <w:p>
      <w:pPr>
        <w:pStyle w:val="TextBody"/>
        <w:bidi w:val="0"/>
        <w:spacing w:before="0" w:after="0"/>
        <w:ind w:left="0" w:right="0" w:hanging="0"/>
        <w:jc w:val="left"/>
        <w:rPr>
          <w:caps w:val="false"/>
          <w:smallCaps w:val="false"/>
        </w:rPr>
      </w:pPr>
      <w:r>
        <w:rPr>
          <w:caps w:val="false"/>
          <w:smallCaps w:val="false"/>
        </w:rPr>
        <w:t> </w:t>
      </w:r>
    </w:p>
    <w:tbl>
      <w:tblPr>
        <w:tblW w:w="4881" w:type="dxa"/>
        <w:jc w:val="left"/>
        <w:tblInd w:w="0" w:type="dxa"/>
        <w:tblLayout w:type="fixed"/>
        <w:tblCellMar>
          <w:top w:w="0" w:type="dxa"/>
          <w:left w:w="0" w:type="dxa"/>
          <w:bottom w:w="0" w:type="dxa"/>
          <w:right w:w="0" w:type="dxa"/>
        </w:tblCellMar>
      </w:tblPr>
      <w:tblGrid>
        <w:gridCol w:w="1520"/>
        <w:gridCol w:w="60"/>
        <w:gridCol w:w="220"/>
        <w:gridCol w:w="1241"/>
        <w:gridCol w:w="349"/>
        <w:gridCol w:w="220"/>
        <w:gridCol w:w="220"/>
        <w:gridCol w:w="976"/>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six-month period ended</w:t>
            </w:r>
          </w:p>
        </w:tc>
        <w:tc>
          <w:tcPr>
            <w:tcW w:w="75" w:type="dxa"/>
            <w:tcBorders/>
            <w:vAlign w:val="center"/>
          </w:tcPr>
          <w:p>
            <w:pPr>
              <w:pStyle w:val="TableContents"/>
              <w:bidi w:val="0"/>
              <w:spacing w:before="0" w:after="283"/>
              <w:jc w:val="left"/>
              <w:rPr/>
            </w:pPr>
            <w:r>
              <w:rPr/>
              <w:t> </w:t>
            </w:r>
          </w:p>
        </w:tc>
      </w:tr>
      <w:tr>
        <w:trPr/>
        <w:tc>
          <w:tcPr>
            <w:tcW w:w="1520" w:type="dxa"/>
            <w:tcBorders>
              <w:bottom w:val="single" w:sz="12" w:space="0" w:color="000000"/>
            </w:tcBorders>
            <w:tcMar>
              <w:bottom w:w="28" w:type="dxa"/>
            </w:tcMar>
            <w:vAlign w:val="center"/>
          </w:tcPr>
          <w:p>
            <w:pPr>
              <w:pStyle w:val="TableContents"/>
              <w:bidi w:val="0"/>
              <w:spacing w:before="0" w:after="283"/>
              <w:jc w:val="left"/>
              <w:rPr>
                <w:b/>
              </w:rPr>
            </w:pPr>
            <w:r>
              <w:rPr>
                <w:b/>
              </w:rPr>
              <w:t>In € thousand</w:t>
            </w:r>
          </w:p>
        </w:tc>
        <w:tc>
          <w:tcPr>
            <w:tcW w:w="60" w:type="dxa"/>
            <w:tcBorders/>
            <w:vAlign w:val="center"/>
          </w:tcPr>
          <w:p>
            <w:pPr>
              <w:pStyle w:val="TableContents"/>
              <w:bidi w:val="0"/>
              <w:spacing w:before="0" w:after="283"/>
              <w:jc w:val="left"/>
              <w:rPr/>
            </w:pPr>
            <w:r>
              <w:rPr/>
              <w:t> </w:t>
            </w:r>
          </w:p>
        </w:tc>
        <w:tc>
          <w:tcPr>
            <w:tcW w:w="14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34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1" w:type="dxa"/>
            <w:gridSpan w:val="2"/>
            <w:tcBorders/>
            <w:vAlign w:val="center"/>
          </w:tcPr>
          <w:p>
            <w:pPr>
              <w:pStyle w:val="TableContents"/>
              <w:bidi w:val="0"/>
              <w:spacing w:before="0" w:after="283"/>
              <w:jc w:val="center"/>
              <w:rPr/>
            </w:pPr>
            <w:r>
              <w:rPr/>
              <w:t> </w:t>
            </w:r>
          </w:p>
        </w:tc>
        <w:tc>
          <w:tcPr>
            <w:tcW w:w="34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Corporation tax</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w:t>
            </w:r>
          </w:p>
        </w:tc>
        <w:tc>
          <w:tcPr>
            <w:tcW w:w="349"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FFFFFF" w:val="clear"/>
            <w:tcMar>
              <w:bottom w:w="28" w:type="dxa"/>
            </w:tcMar>
            <w:vAlign w:val="center"/>
          </w:tcPr>
          <w:p>
            <w:pPr>
              <w:pStyle w:val="TableContents"/>
              <w:bidi w:val="0"/>
              <w:spacing w:before="0" w:after="283"/>
              <w:jc w:val="right"/>
              <w:rPr/>
            </w:pPr>
            <w:r>
              <w:rPr/>
              <w:t>(20</w:t>
            </w:r>
          </w:p>
        </w:tc>
        <w:tc>
          <w:tcPr>
            <w:tcW w:w="349" w:type="dxa"/>
            <w:tcBorders/>
            <w:shd w:fill="FFFFFF" w:val="clear"/>
            <w:vAlign w:val="center"/>
          </w:tcPr>
          <w:p>
            <w:pPr>
              <w:pStyle w:val="TableContents"/>
              <w:bidi w:val="0"/>
              <w:spacing w:before="0" w:after="283"/>
              <w:jc w:val="left"/>
              <w:rPr/>
            </w:pPr>
            <w:r>
              <w:rPr/>
              <w:t>)</w:t>
            </w:r>
          </w:p>
        </w:tc>
        <w:tc>
          <w:tcPr>
            <w:tcW w:w="22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b/>
              </w:rPr>
            </w:pPr>
            <w:r>
              <w:rPr>
                <w:b/>
              </w:rPr>
              <w:t>Income tax</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w:t>
            </w:r>
          </w:p>
        </w:tc>
        <w:tc>
          <w:tcPr>
            <w:tcW w:w="349" w:type="dxa"/>
            <w:tcBorders/>
            <w:shd w:fill="CCEEFF" w:val="clear"/>
            <w:vAlign w:val="center"/>
          </w:tcPr>
          <w:p>
            <w:pPr>
              <w:pStyle w:val="TableContents"/>
              <w:bidi w:val="0"/>
              <w:spacing w:before="0" w:after="283"/>
              <w:jc w:val="left"/>
              <w:rPr>
                <w:b/>
              </w:rPr>
            </w:pPr>
            <w:r>
              <w:rPr>
                <w:b/>
              </w:rPr>
              <w:t>)</w:t>
            </w:r>
          </w:p>
        </w:tc>
        <w:tc>
          <w:tcPr>
            <w:tcW w:w="22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16.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calculation of the basic and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00"/>
        <w:gridCol w:w="60"/>
        <w:gridCol w:w="60"/>
        <w:gridCol w:w="980"/>
        <w:gridCol w:w="95"/>
        <w:gridCol w:w="60"/>
        <w:gridCol w:w="60"/>
        <w:gridCol w:w="980"/>
        <w:gridCol w:w="110"/>
      </w:tblGrid>
      <w:tr>
        <w:trPr/>
        <w:tc>
          <w:tcPr>
            <w:tcW w:w="7800" w:type="dxa"/>
            <w:tcBorders>
              <w:bottom w:val="single" w:sz="12" w:space="0" w:color="000000"/>
            </w:tcBorders>
            <w:vAlign w:val="center"/>
          </w:tcPr>
          <w:p>
            <w:pPr>
              <w:pStyle w:val="TableContents"/>
              <w:bidi w:val="0"/>
              <w:spacing w:before="0" w:after="283"/>
              <w:jc w:val="left"/>
              <w:rPr/>
            </w:pPr>
            <w:r>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7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7800" w:type="dxa"/>
            <w:tcBorders/>
            <w:tcMar>
              <w:bottom w:w="0" w:type="dxa"/>
            </w:tcMar>
            <w:vAlign w:val="center"/>
          </w:tcPr>
          <w:p>
            <w:pPr>
              <w:pStyle w:val="TableContents"/>
              <w:bidi w:val="0"/>
              <w:spacing w:before="0" w:after="283"/>
              <w:jc w:val="left"/>
              <w:rPr>
                <w:i/>
              </w:rPr>
            </w:pPr>
            <w:r>
              <w:rPr>
                <w:i/>
              </w:rPr>
              <w:t>Numerator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7800" w:type="dxa"/>
            <w:tcBorders/>
            <w:shd w:fill="CCEEFF" w:val="clear"/>
            <w:tcMar>
              <w:bottom w:w="0" w:type="dxa"/>
            </w:tcMar>
            <w:vAlign w:val="center"/>
          </w:tcPr>
          <w:p>
            <w:pPr>
              <w:pStyle w:val="TableContents"/>
              <w:bidi w:val="0"/>
              <w:spacing w:before="0" w:after="283"/>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Loss for the period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(26,118</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7800" w:type="dxa"/>
            <w:tcBorders/>
            <w:shd w:fill="FFFFFF" w:val="clear"/>
            <w:tcMar>
              <w:bottom w:w="0" w:type="dxa"/>
            </w:tcMar>
            <w:vAlign w:val="center"/>
          </w:tcPr>
          <w:p>
            <w:pPr>
              <w:pStyle w:val="TableContents"/>
              <w:bidi w:val="0"/>
              <w:spacing w:before="0" w:after="283"/>
              <w:jc w:val="left"/>
              <w:rPr>
                <w:b/>
              </w:rPr>
            </w:pPr>
            <w:r>
              <w:rPr>
                <w:b/>
              </w:rPr>
              <w:t>Loss attributable to common shareholders from continuing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b/>
              </w:rPr>
            </w:pPr>
            <w:r>
              <w:rPr>
                <w:b/>
              </w:rPr>
              <w:t>(53,236</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b/>
              </w:rPr>
            </w:pPr>
            <w:r>
              <w:rPr>
                <w:b/>
              </w:rPr>
              <w:t>(26,118</w:t>
            </w:r>
          </w:p>
        </w:tc>
        <w:tc>
          <w:tcPr>
            <w:tcW w:w="110" w:type="dxa"/>
            <w:tcBorders/>
            <w:shd w:fill="FFFFFF" w:val="clear"/>
            <w:tcMar>
              <w:bottom w:w="0" w:type="dxa"/>
            </w:tcMar>
            <w:vAlign w:val="center"/>
          </w:tcPr>
          <w:p>
            <w:pPr>
              <w:pStyle w:val="TableContents"/>
              <w:bidi w:val="0"/>
              <w:spacing w:before="0" w:after="283"/>
              <w:ind w:left="0" w:right="0" w:hanging="200"/>
              <w:jc w:val="left"/>
              <w:rPr>
                <w:b/>
              </w:rPr>
            </w:pPr>
            <w:r>
              <w:rPr>
                <w:b/>
              </w:rPr>
              <w:t>)</w:t>
            </w:r>
          </w:p>
        </w:tc>
      </w:tr>
      <w:tr>
        <w:trPr/>
        <w:tc>
          <w:tcPr>
            <w:tcW w:w="7800" w:type="dxa"/>
            <w:tcBorders/>
            <w:shd w:fill="CCEEFF" w:val="clear"/>
            <w:tcMar>
              <w:bottom w:w="0" w:type="dxa"/>
            </w:tcMar>
            <w:vAlign w:val="center"/>
          </w:tcPr>
          <w:p>
            <w:pPr>
              <w:pStyle w:val="TableContents"/>
              <w:bidi w:val="0"/>
              <w:spacing w:before="0" w:after="283"/>
              <w:jc w:val="left"/>
              <w:rPr>
                <w:i/>
              </w:rPr>
            </w:pPr>
            <w:r>
              <w:rPr>
                <w:i/>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400"/>
              <w:jc w:val="left"/>
              <w:rPr/>
            </w:pPr>
            <w:r>
              <w:rPr/>
              <w:t> </w:t>
            </w:r>
          </w:p>
        </w:tc>
      </w:tr>
      <w:tr>
        <w:trPr/>
        <w:tc>
          <w:tcPr>
            <w:tcW w:w="7800" w:type="dxa"/>
            <w:tcBorders/>
            <w:shd w:fill="FFFFFF" w:val="clear"/>
            <w:tcMar>
              <w:bottom w:w="0" w:type="dxa"/>
            </w:tcMar>
            <w:vAlign w:val="center"/>
          </w:tcPr>
          <w:p>
            <w:pPr>
              <w:pStyle w:val="TableContents"/>
              <w:bidi w:val="0"/>
              <w:spacing w:before="0" w:after="283"/>
              <w:jc w:val="left"/>
              <w:rPr/>
            </w:pPr>
            <w:r>
              <w:rPr/>
              <w:t>Weighted average number of ordinary shares outstanding used in computing basic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8,021,947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6,923,000</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7800" w:type="dxa"/>
            <w:tcBorders/>
            <w:shd w:fill="CCEEFF" w:val="clear"/>
            <w:tcMar>
              <w:bottom w:w="0" w:type="dxa"/>
            </w:tcMar>
            <w:vAlign w:val="center"/>
          </w:tcPr>
          <w:p>
            <w:pPr>
              <w:pStyle w:val="TableContents"/>
              <w:bidi w:val="0"/>
              <w:spacing w:before="0" w:after="283"/>
              <w:jc w:val="left"/>
              <w:rPr>
                <w:b/>
              </w:rPr>
            </w:pPr>
            <w:r>
              <w:rPr>
                <w:b/>
              </w:rPr>
              <w:t>Loss per share - 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(6.6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b/>
              </w:rPr>
            </w:pPr>
            <w:r>
              <w:rPr>
                <w:b/>
              </w:rPr>
              <w:t>(3.8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reported a loss of €53,236 thousand for the period ended June 30, 2026 (€26,118 thousand for the period ended June 30, 2025), diluted loss per share excludes all instruments that could potentially dilute earnings per share in the future periods. They were not included in the calculation of diluted earnings per share because they are antidilutive for the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ORAs outstanding prior to their conversion into ordinary shares on 2 March 2026 had a dilutive effect on earnings per share for the six-month period ended 30 June 2026, primarily as a result of the fair value remeasurement gain recognized prior to conversion (see Note 9). Accordingly, diluted loss per share amounted to €7.3, compared with the basic loss per share of €6.6. The calculation of diluted loss per share for the period is presented below. No comparable dilutive effect was recognized in the six-month period ended 30 June 2025. Accordingly, diluted loss per share was identical to basic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5630"/>
        <w:gridCol w:w="60"/>
        <w:gridCol w:w="60"/>
        <w:gridCol w:w="980"/>
        <w:gridCol w:w="95"/>
        <w:gridCol w:w="60"/>
        <w:gridCol w:w="60"/>
        <w:gridCol w:w="980"/>
        <w:gridCol w:w="110"/>
      </w:tblGrid>
      <w:tr>
        <w:trPr/>
        <w:tc>
          <w:tcPr>
            <w:tcW w:w="5630" w:type="dxa"/>
            <w:tcBorders>
              <w:bottom w:val="single" w:sz="12" w:space="0" w:color="000000"/>
            </w:tcBorders>
            <w:vAlign w:val="center"/>
          </w:tcPr>
          <w:p>
            <w:pPr>
              <w:pStyle w:val="TableContents"/>
              <w:bidi w:val="0"/>
              <w:spacing w:before="0" w:after="283"/>
              <w:jc w:val="left"/>
              <w:rPr/>
            </w:pPr>
            <w:r>
              <w:rPr/>
              <w:t>in € thousand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5630" w:type="dxa"/>
            <w:tcBorders/>
            <w:tcMar>
              <w:bottom w:w="0" w:type="dxa"/>
            </w:tcMar>
            <w:vAlign w:val="center"/>
          </w:tcPr>
          <w:p>
            <w:pPr>
              <w:pStyle w:val="TableContents"/>
              <w:bidi w:val="0"/>
              <w:spacing w:before="0" w:after="283"/>
              <w:jc w:val="left"/>
              <w:rPr>
                <w:i/>
              </w:rPr>
            </w:pPr>
            <w:r>
              <w:rPr>
                <w:i/>
              </w:rPr>
              <w:t>Numerator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Loss for the period from continuing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(53,236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(26,118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630" w:type="dxa"/>
            <w:tcBorders/>
            <w:shd w:fill="FFFFFF" w:val="clear"/>
            <w:tcMar>
              <w:bottom w:w="0" w:type="dxa"/>
            </w:tcMar>
            <w:vAlign w:val="center"/>
          </w:tcPr>
          <w:p>
            <w:pPr>
              <w:pStyle w:val="TableContents"/>
              <w:bidi w:val="0"/>
              <w:spacing w:before="0" w:after="283"/>
              <w:jc w:val="left"/>
              <w:rPr/>
            </w:pPr>
            <w:r>
              <w:rPr/>
              <w:t>Effect of change of fair value of ORA before conversion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b/>
              </w:rPr>
            </w:pPr>
            <w:r>
              <w:rPr>
                <w:b/>
              </w:rPr>
              <w:t>Adjusted 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b/>
              </w:rPr>
            </w:pPr>
            <w:r>
              <w:rPr>
                <w:b/>
              </w:rPr>
              <w:t>(60,284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b/>
              </w:rPr>
            </w:pPr>
            <w:r>
              <w:rPr>
                <w:b/>
              </w:rPr>
              <w:t>(26,118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56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i/>
              </w:rPr>
            </w:pPr>
            <w:r>
              <w:rPr>
                <w:i/>
              </w:rPr>
              <w:t>Denominator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pPr>
            <w:r>
              <w:rPr/>
              <w:t>Weighted average number of shares for basic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8,021,947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6,923,000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Dilutive effect of ORA before conversion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226,226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Adjusted weighted average number of diluted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8,248,173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6,923,000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6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630" w:type="dxa"/>
            <w:tcBorders/>
            <w:shd w:fill="FFFFFF" w:val="clear"/>
            <w:tcMar>
              <w:bottom w:w="0" w:type="dxa"/>
            </w:tcMar>
            <w:vAlign w:val="center"/>
          </w:tcPr>
          <w:p>
            <w:pPr>
              <w:pStyle w:val="TableContents"/>
              <w:bidi w:val="0"/>
              <w:spacing w:before="0" w:after="283"/>
              <w:jc w:val="left"/>
              <w:rPr>
                <w:b/>
              </w:rPr>
            </w:pPr>
            <w:r>
              <w:rPr>
                <w:b/>
              </w:rPr>
              <w:t>Loss per share -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(7.3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b/>
              </w:rPr>
            </w:pPr>
            <w:r>
              <w:rPr>
                <w:b/>
              </w:rPr>
              <w:t>(3.8</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total number of ordinary shares and potential ordinary shares related to instruments that could potentially dilute basic earnings per share amounted to 10,209,577 (as of June 30, 2025: 7,964,184), including contingently issuable upon settlement of contingent consideration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potentially dilutive instruments consisted of 1,407,521 BSPCEs (as of June 30, 2025: 800,300), 15,885 other equity-settled instruments (as of June 30, 2025: 26,270), and 107,307 shares related to contingent consideration arrangements granted to the former shareholders of Aeponyx (as of June 30, 2025: 214,614). See Notes 8, 10 and 17 for further details on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completed the March 2026 Financing, which included the issuance of Convertible Bonds initially convertible into 26,041,667 ordinary shares and 32,552,083 Warrants exercisable for ordinary shares. As these instruments were issued after the reporting date, they were not included in the calculation of potentially dilutive instruments. See Note 20.4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17. Related party disclosures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 Related parties transactions and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Transactions and balances (excluding KMP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transactions and balances with related parties occurred during the period:</w:t>
      </w:r>
    </w:p>
    <w:p>
      <w:pPr>
        <w:pStyle w:val="TextBody"/>
        <w:bidi w:val="0"/>
        <w:spacing w:before="0" w:after="0"/>
        <w:ind w:left="0" w:right="0" w:hanging="0"/>
        <w:jc w:val="left"/>
        <w:rPr>
          <w:caps w:val="false"/>
          <w:smallCaps w:val="false"/>
        </w:rPr>
      </w:pPr>
      <w:r>
        <w:rPr>
          <w:caps w:val="false"/>
          <w:smallCaps w:val="false"/>
        </w:rPr>
        <w:t> </w:t>
      </w:r>
    </w:p>
    <w:tbl>
      <w:tblPr>
        <w:tblW w:w="5483" w:type="dxa"/>
        <w:jc w:val="left"/>
        <w:tblInd w:w="0" w:type="dxa"/>
        <w:tblLayout w:type="fixed"/>
        <w:tblCellMar>
          <w:top w:w="0" w:type="dxa"/>
          <w:left w:w="0" w:type="dxa"/>
          <w:bottom w:w="28" w:type="dxa"/>
          <w:right w:w="0" w:type="dxa"/>
        </w:tblCellMar>
      </w:tblPr>
      <w:tblGrid>
        <w:gridCol w:w="2870"/>
        <w:gridCol w:w="60"/>
        <w:gridCol w:w="75"/>
        <w:gridCol w:w="799"/>
        <w:gridCol w:w="95"/>
        <w:gridCol w:w="60"/>
        <w:gridCol w:w="103"/>
        <w:gridCol w:w="1311"/>
        <w:gridCol w:w="110"/>
      </w:tblGrid>
      <w:tr>
        <w:trPr/>
        <w:tc>
          <w:tcPr>
            <w:tcW w:w="287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283"/>
              <w:jc w:val="left"/>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pPr>
            <w:r>
              <w:rPr/>
              <w:t>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238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pPr>
            <w:r>
              <w:rPr/>
              <w:t>Government grant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2,302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pPr>
            <w:r>
              <w:rPr/>
              <w:t>2,493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70" w:type="dxa"/>
            <w:tcBorders/>
            <w:shd w:fill="FFFFFF" w:val="clear"/>
            <w:tcMar>
              <w:bottom w:w="0" w:type="dxa"/>
            </w:tcMar>
            <w:vAlign w:val="center"/>
          </w:tcPr>
          <w:p>
            <w:pPr>
              <w:pStyle w:val="TableContents"/>
              <w:bidi w:val="0"/>
              <w:spacing w:before="0" w:after="283"/>
              <w:jc w:val="left"/>
              <w:rPr/>
            </w:pPr>
            <w:r>
              <w:rPr/>
              <w:t>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(4,027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pPr>
            <w:r>
              <w:rPr/>
              <w:t>(24,461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870" w:type="dxa"/>
            <w:tcBorders/>
            <w:shd w:fill="CCEEFF" w:val="clear"/>
            <w:tcMar>
              <w:bottom w:w="0" w:type="dxa"/>
            </w:tcMar>
            <w:vAlign w:val="center"/>
          </w:tcPr>
          <w:p>
            <w:pPr>
              <w:pStyle w:val="TableContents"/>
              <w:bidi w:val="0"/>
              <w:spacing w:before="0" w:after="283"/>
              <w:jc w:val="left"/>
              <w:rPr/>
            </w:pPr>
            <w:r>
              <w:rPr/>
              <w:t>Deferred income from grants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(5,168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1311" w:type="dxa"/>
            <w:tcBorders>
              <w:bottom w:val="single" w:sz="12" w:space="0" w:color="000000"/>
            </w:tcBorders>
            <w:shd w:fill="CCEEFF" w:val="clear"/>
            <w:vAlign w:val="center"/>
          </w:tcPr>
          <w:p>
            <w:pPr>
              <w:pStyle w:val="TableContents"/>
              <w:bidi w:val="0"/>
              <w:spacing w:before="0" w:after="283"/>
              <w:jc w:val="right"/>
              <w:rPr/>
            </w:pPr>
            <w:r>
              <w:rPr/>
              <w:t>(5,454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870"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pPr>
            <w:r>
              <w:rPr/>
              <w:t>(113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FFFFFF" w:val="clear"/>
            <w:vAlign w:val="center"/>
          </w:tcPr>
          <w:p>
            <w:pPr>
              <w:pStyle w:val="TableContents"/>
              <w:bidi w:val="0"/>
              <w:spacing w:before="0" w:after="283"/>
              <w:jc w:val="left"/>
              <w:rPr/>
            </w:pPr>
            <w:r>
              <w:rPr/>
              <w:t> </w:t>
            </w:r>
          </w:p>
        </w:tc>
        <w:tc>
          <w:tcPr>
            <w:tcW w:w="1311" w:type="dxa"/>
            <w:tcBorders>
              <w:bottom w:val="single" w:sz="12" w:space="0" w:color="000000"/>
            </w:tcBorders>
            <w:shd w:fill="FFFFFF" w:val="clear"/>
            <w:vAlign w:val="center"/>
          </w:tcPr>
          <w:p>
            <w:pPr>
              <w:pStyle w:val="TableContents"/>
              <w:bidi w:val="0"/>
              <w:spacing w:before="0" w:after="283"/>
              <w:jc w:val="right"/>
              <w:rPr/>
            </w:pPr>
            <w:r>
              <w:rPr/>
              <w:t>(291</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28" w:type="dxa"/>
          <w:right w:w="0" w:type="dxa"/>
        </w:tblCellMar>
      </w:tblPr>
      <w:tblGrid>
        <w:gridCol w:w="2510"/>
        <w:gridCol w:w="60"/>
        <w:gridCol w:w="101"/>
        <w:gridCol w:w="773"/>
        <w:gridCol w:w="95"/>
        <w:gridCol w:w="60"/>
        <w:gridCol w:w="108"/>
        <w:gridCol w:w="826"/>
        <w:gridCol w:w="110"/>
      </w:tblGrid>
      <w:tr>
        <w:trPr/>
        <w:tc>
          <w:tcPr>
            <w:tcW w:w="251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tcMar>
              <w:bottom w:w="0" w:type="dxa"/>
            </w:tcMar>
            <w:vAlign w:val="center"/>
          </w:tcPr>
          <w:p>
            <w:pPr>
              <w:pStyle w:val="TableContents"/>
              <w:bidi w:val="0"/>
              <w:spacing w:before="0" w:after="283"/>
              <w:jc w:val="left"/>
              <w:rPr>
                <w:b/>
              </w:rPr>
            </w:pPr>
            <w:r>
              <w:rPr>
                <w:b/>
              </w:rPr>
              <w:t>Income</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285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pPr>
            <w:r>
              <w:rPr/>
              <w:t>Government grant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401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826" w:type="dxa"/>
            <w:tcBorders/>
            <w:shd w:fill="FFFFFF" w:val="clear"/>
            <w:tcMar>
              <w:bottom w:w="0" w:type="dxa"/>
            </w:tcMar>
            <w:vAlign w:val="center"/>
          </w:tcPr>
          <w:p>
            <w:pPr>
              <w:pStyle w:val="TableContents"/>
              <w:bidi w:val="0"/>
              <w:spacing w:before="0" w:after="283"/>
              <w:jc w:val="right"/>
              <w:rPr/>
            </w:pPr>
            <w:r>
              <w:rPr/>
              <w:t>358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510" w:type="dxa"/>
            <w:tcBorders/>
            <w:shd w:fill="CCEEFF" w:val="clear"/>
            <w:tcMar>
              <w:bottom w:w="0" w:type="dxa"/>
            </w:tcMar>
            <w:vAlign w:val="center"/>
          </w:tcPr>
          <w:p>
            <w:pPr>
              <w:pStyle w:val="TableContents"/>
              <w:bidi w:val="0"/>
              <w:spacing w:before="0" w:after="283"/>
              <w:jc w:val="left"/>
              <w:rPr>
                <w:b/>
              </w:rPr>
            </w:pPr>
            <w:r>
              <w:rPr>
                <w:b/>
              </w:rPr>
              <w:t>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826"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510" w:type="dxa"/>
            <w:tcBorders/>
            <w:shd w:fill="FFFFFF" w:val="clear"/>
            <w:tcMar>
              <w:bottom w:w="0" w:type="dxa"/>
            </w:tcMar>
            <w:vAlign w:val="center"/>
          </w:tcPr>
          <w:p>
            <w:pPr>
              <w:pStyle w:val="TableContents"/>
              <w:bidi w:val="0"/>
              <w:spacing w:before="0" w:after="283"/>
              <w:jc w:val="left"/>
              <w:rPr/>
            </w:pPr>
            <w:r>
              <w:rPr/>
              <w:t>Professional 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FFFFFF" w:val="clear"/>
            <w:vAlign w:val="center"/>
          </w:tcPr>
          <w:p>
            <w:pPr>
              <w:pStyle w:val="TableContents"/>
              <w:bidi w:val="0"/>
              <w:spacing w:before="0" w:after="283"/>
              <w:jc w:val="left"/>
              <w:rPr/>
            </w:pPr>
            <w:r>
              <w:rPr/>
              <w:t> </w:t>
            </w:r>
          </w:p>
        </w:tc>
        <w:tc>
          <w:tcPr>
            <w:tcW w:w="773" w:type="dxa"/>
            <w:tcBorders>
              <w:bottom w:val="single" w:sz="12" w:space="0" w:color="000000"/>
            </w:tcBorders>
            <w:shd w:fill="FFFFFF" w:val="clear"/>
            <w:vAlign w:val="center"/>
          </w:tcPr>
          <w:p>
            <w:pPr>
              <w:pStyle w:val="TableContents"/>
              <w:bidi w:val="0"/>
              <w:spacing w:before="0" w:after="283"/>
              <w:jc w:val="right"/>
              <w:rPr/>
            </w:pPr>
            <w:r>
              <w:rPr/>
              <w:t>(286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FFFFFF" w:val="clear"/>
            <w:vAlign w:val="center"/>
          </w:tcPr>
          <w:p>
            <w:pPr>
              <w:pStyle w:val="TableContents"/>
              <w:bidi w:val="0"/>
              <w:spacing w:before="0" w:after="283"/>
              <w:jc w:val="left"/>
              <w:rPr/>
            </w:pPr>
            <w:r>
              <w:rPr/>
              <w:t> </w:t>
            </w:r>
          </w:p>
        </w:tc>
        <w:tc>
          <w:tcPr>
            <w:tcW w:w="826" w:type="dxa"/>
            <w:tcBorders>
              <w:bottom w:val="single" w:sz="12" w:space="0" w:color="000000"/>
            </w:tcBorders>
            <w:shd w:fill="FFFFFF" w:val="clear"/>
            <w:vAlign w:val="center"/>
          </w:tcPr>
          <w:p>
            <w:pPr>
              <w:pStyle w:val="TableContents"/>
              <w:bidi w:val="0"/>
              <w:spacing w:before="0" w:after="283"/>
              <w:jc w:val="right"/>
              <w:rPr/>
            </w:pPr>
            <w:r>
              <w:rPr/>
              <w:t>(646</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51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773" w:type="dxa"/>
            <w:tcBorders>
              <w:bottom w:val="single" w:sz="12" w:space="0" w:color="000000"/>
            </w:tcBorders>
            <w:shd w:fill="CCEEFF" w:val="clear"/>
            <w:vAlign w:val="center"/>
          </w:tcPr>
          <w:p>
            <w:pPr>
              <w:pStyle w:val="TableContents"/>
              <w:bidi w:val="0"/>
              <w:spacing w:before="0" w:after="283"/>
              <w:jc w:val="right"/>
              <w:rPr/>
            </w:pPr>
            <w:r>
              <w:rPr/>
              <w:t>(35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single" w:sz="12" w:space="0" w:color="000000"/>
            </w:tcBorders>
            <w:shd w:fill="CCEEFF" w:val="clear"/>
            <w:vAlign w:val="center"/>
          </w:tcPr>
          <w:p>
            <w:pPr>
              <w:pStyle w:val="TableContents"/>
              <w:bidi w:val="0"/>
              <w:spacing w:before="0" w:after="283"/>
              <w:jc w:val="left"/>
              <w:rPr/>
            </w:pPr>
            <w:r>
              <w:rPr/>
              <w:t> </w:t>
            </w:r>
          </w:p>
        </w:tc>
        <w:tc>
          <w:tcPr>
            <w:tcW w:w="826" w:type="dxa"/>
            <w:tcBorders>
              <w:bottom w:val="single" w:sz="12" w:space="0" w:color="000000"/>
            </w:tcBorders>
            <w:shd w:fill="CCEEFF" w:val="clear"/>
            <w:vAlign w:val="center"/>
          </w:tcPr>
          <w:p>
            <w:pPr>
              <w:pStyle w:val="TableContents"/>
              <w:bidi w:val="0"/>
              <w:spacing w:before="0" w:after="283"/>
              <w:jc w:val="right"/>
              <w:rPr/>
            </w:pPr>
            <w:r>
              <w:rPr/>
              <w:t>(213</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Key management personnel (KMP)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June 30, 2026, key management personnel consist of 17 individuals (as of June 30, 2025: 10 individuals), including individuals who ceased their functions during the period.</w:t>
      </w:r>
    </w:p>
    <w:p>
      <w:pPr>
        <w:pStyle w:val="TextBody"/>
        <w:bidi w:val="0"/>
        <w:spacing w:before="0" w:after="0"/>
        <w:ind w:left="0" w:right="0" w:hanging="0"/>
        <w:jc w:val="left"/>
        <w:rPr>
          <w:caps w:val="false"/>
          <w:smallCaps w:val="false"/>
        </w:rPr>
      </w:pPr>
      <w:r>
        <w:rPr>
          <w:caps w:val="false"/>
          <w:smallCaps w:val="false"/>
        </w:rPr>
        <w:t> </w:t>
      </w:r>
    </w:p>
    <w:tbl>
      <w:tblPr>
        <w:tblW w:w="8348" w:type="dxa"/>
        <w:jc w:val="left"/>
        <w:tblInd w:w="0" w:type="dxa"/>
        <w:tblLayout w:type="fixed"/>
        <w:tblCellMar>
          <w:top w:w="0" w:type="dxa"/>
          <w:left w:w="0" w:type="dxa"/>
          <w:bottom w:w="28" w:type="dxa"/>
          <w:right w:w="0" w:type="dxa"/>
        </w:tblCellMar>
      </w:tblPr>
      <w:tblGrid>
        <w:gridCol w:w="6275"/>
        <w:gridCol w:w="60"/>
        <w:gridCol w:w="64"/>
        <w:gridCol w:w="810"/>
        <w:gridCol w:w="95"/>
        <w:gridCol w:w="60"/>
        <w:gridCol w:w="75"/>
        <w:gridCol w:w="799"/>
        <w:gridCol w:w="110"/>
      </w:tblGrid>
      <w:tr>
        <w:trPr/>
        <w:tc>
          <w:tcPr>
            <w:tcW w:w="627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62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275" w:type="dxa"/>
            <w:tcBorders/>
            <w:shd w:fill="CCEEFF" w:val="clear"/>
            <w:tcMar>
              <w:bottom w:w="0" w:type="dxa"/>
            </w:tcMar>
            <w:vAlign w:val="center"/>
          </w:tcPr>
          <w:p>
            <w:pPr>
              <w:pStyle w:val="TableContents"/>
              <w:bidi w:val="0"/>
              <w:spacing w:before="0" w:after="283"/>
              <w:jc w:val="left"/>
              <w:rPr/>
            </w:pPr>
            <w:r>
              <w:rPr/>
              <w:t>Employee short-term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(2,006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(939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pPr>
            <w:r>
              <w:rPr/>
              <w:t>Pension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(13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275" w:type="dxa"/>
            <w:tcBorders/>
            <w:shd w:fill="CCEEFF" w:val="clear"/>
            <w:tcMar>
              <w:bottom w:w="0" w:type="dxa"/>
            </w:tcMar>
            <w:vAlign w:val="center"/>
          </w:tcPr>
          <w:p>
            <w:pPr>
              <w:pStyle w:val="TableContents"/>
              <w:bidi w:val="0"/>
              <w:spacing w:before="0" w:after="283"/>
              <w:jc w:val="left"/>
              <w:rPr>
                <w:sz w:val="20"/>
              </w:rPr>
            </w:pPr>
            <w:r>
              <w:rPr>
                <w:sz w:val="20"/>
              </w:rPr>
              <w:t>Share-based payment transactions</w:t>
            </w:r>
            <w:r>
              <w:rPr>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(23,622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(77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275" w:type="dxa"/>
            <w:tcBorders/>
            <w:shd w:fill="FFFFFF" w:val="clear"/>
            <w:tcMar>
              <w:bottom w:w="0" w:type="dxa"/>
            </w:tcMar>
            <w:vAlign w:val="center"/>
          </w:tcPr>
          <w:p>
            <w:pPr>
              <w:pStyle w:val="TableContents"/>
              <w:bidi w:val="0"/>
              <w:spacing w:before="0" w:after="283"/>
              <w:jc w:val="left"/>
              <w:rPr>
                <w:b/>
              </w:rPr>
            </w:pPr>
            <w:r>
              <w:rPr>
                <w:b/>
              </w:rPr>
              <w:t>Total compensation recognized to key management personnel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(25,633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b/>
              </w:rPr>
            </w:pPr>
            <w:r>
              <w:rPr>
                <w:b/>
              </w:rPr>
              <w:t>(1,028</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9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increase in share-based payment expense in the period ended June 30, 2026 mainly relates to the recognition of share-based compensation expense related to BSPCE grants awarded during 2026. See Notes 8.3 and 10 for further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above represent expenses recognized in profit or loss during the reporting period in respect of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 Commitments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committed to issue a maximum of 107,307 contingent consideration shares in connection with the acquisition of Aeponyx to former owners of Aeponyx, who became members of key management personnel following the acquisition. See Note 20 for further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18. Off-balance-sheet commitments</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 Commitments given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45"/>
        <w:gridCol w:w="60"/>
        <w:gridCol w:w="74"/>
        <w:gridCol w:w="858"/>
        <w:gridCol w:w="60"/>
        <w:gridCol w:w="60"/>
        <w:gridCol w:w="117"/>
        <w:gridCol w:w="1353"/>
        <w:gridCol w:w="78"/>
      </w:tblGrid>
      <w:tr>
        <w:trPr/>
        <w:tc>
          <w:tcPr>
            <w:tcW w:w="754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0"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8" w:type="dxa"/>
            <w:tcBorders/>
            <w:tcMar>
              <w:bottom w:w="0" w:type="dxa"/>
            </w:tcMar>
            <w:vAlign w:val="center"/>
          </w:tcPr>
          <w:p>
            <w:pPr>
              <w:pStyle w:val="TableContents"/>
              <w:bidi w:val="0"/>
              <w:spacing w:before="0" w:after="283"/>
              <w:jc w:val="left"/>
              <w:rPr/>
            </w:pPr>
            <w:r>
              <w:rPr/>
              <w:t> </w:t>
            </w:r>
          </w:p>
        </w:tc>
      </w:tr>
      <w:tr>
        <w:trPr/>
        <w:tc>
          <w:tcPr>
            <w:tcW w:w="7545" w:type="dxa"/>
            <w:tcBorders/>
            <w:shd w:fill="CCEEFF" w:val="clear"/>
            <w:tcMar>
              <w:bottom w:w="0" w:type="dxa"/>
            </w:tcMar>
            <w:vAlign w:val="center"/>
          </w:tcPr>
          <w:p>
            <w:pPr>
              <w:pStyle w:val="TableContents"/>
              <w:bidi w:val="0"/>
              <w:spacing w:before="0" w:after="283"/>
              <w:jc w:val="left"/>
              <w:rPr/>
            </w:pPr>
            <w:r>
              <w:rPr/>
              <w:t>Guarantees and collateral granted in connection with financing arrangements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22,413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22,089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7545" w:type="dxa"/>
            <w:tcBorders/>
            <w:shd w:fill="FFFFFF" w:val="clear"/>
            <w:tcMar>
              <w:bottom w:w="0" w:type="dxa"/>
            </w:tcMar>
            <w:vAlign w:val="center"/>
          </w:tcPr>
          <w:p>
            <w:pPr>
              <w:pStyle w:val="TableContents"/>
              <w:bidi w:val="0"/>
              <w:spacing w:before="0" w:after="283"/>
              <w:jc w:val="left"/>
              <w:rPr/>
            </w:pPr>
            <w:r>
              <w:rPr/>
              <w:t>Other commitments given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21,735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FFFFFF" w:val="clear"/>
            <w:vAlign w:val="center"/>
          </w:tcPr>
          <w:p>
            <w:pPr>
              <w:pStyle w:val="TableContents"/>
              <w:bidi w:val="0"/>
              <w:spacing w:before="0" w:after="283"/>
              <w:jc w:val="left"/>
              <w:rPr/>
            </w:pPr>
            <w:r>
              <w:rPr/>
              <w:t> </w:t>
            </w:r>
          </w:p>
        </w:tc>
        <w:tc>
          <w:tcPr>
            <w:tcW w:w="1353" w:type="dxa"/>
            <w:tcBorders>
              <w:bottom w:val="single" w:sz="12" w:space="0" w:color="000000"/>
            </w:tcBorders>
            <w:shd w:fill="FFFFFF" w:val="clear"/>
            <w:vAlign w:val="center"/>
          </w:tcPr>
          <w:p>
            <w:pPr>
              <w:pStyle w:val="TableContents"/>
              <w:bidi w:val="0"/>
              <w:spacing w:before="0" w:after="283"/>
              <w:jc w:val="right"/>
              <w:rPr/>
            </w:pPr>
            <w:r>
              <w:rPr/>
              <w:t>21,218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754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CCEEFF" w:val="clear"/>
            <w:vAlign w:val="center"/>
          </w:tcPr>
          <w:p>
            <w:pPr>
              <w:pStyle w:val="TableContents"/>
              <w:bidi w:val="0"/>
              <w:spacing w:before="0" w:after="283"/>
              <w:jc w:val="left"/>
              <w:rPr/>
            </w:pPr>
            <w:r>
              <w:rPr/>
              <w:t> </w:t>
            </w:r>
          </w:p>
        </w:tc>
        <w:tc>
          <w:tcPr>
            <w:tcW w:w="858" w:type="dxa"/>
            <w:tcBorders>
              <w:bottom w:val="single" w:sz="12" w:space="0" w:color="000000"/>
            </w:tcBorders>
            <w:shd w:fill="CCEEFF" w:val="clear"/>
            <w:vAlign w:val="center"/>
          </w:tcPr>
          <w:p>
            <w:pPr>
              <w:pStyle w:val="TableContents"/>
              <w:bidi w:val="0"/>
              <w:spacing w:before="0" w:after="283"/>
              <w:jc w:val="right"/>
              <w:rPr>
                <w:b/>
              </w:rPr>
            </w:pPr>
            <w:r>
              <w:rPr>
                <w:b/>
              </w:rPr>
              <w:t>44,148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1353" w:type="dxa"/>
            <w:tcBorders>
              <w:bottom w:val="single" w:sz="12" w:space="0" w:color="000000"/>
            </w:tcBorders>
            <w:shd w:fill="CCEEFF" w:val="clear"/>
            <w:vAlign w:val="center"/>
          </w:tcPr>
          <w:p>
            <w:pPr>
              <w:pStyle w:val="TableContents"/>
              <w:bidi w:val="0"/>
              <w:spacing w:before="0" w:after="283"/>
              <w:jc w:val="right"/>
              <w:rPr>
                <w:b/>
              </w:rPr>
            </w:pPr>
            <w:r>
              <w:rPr>
                <w:b/>
              </w:rPr>
              <w:t>43,307</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Guarantees and collateral granted in connection with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commitments mainly comprise:</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a corporate guarantee granted by Pasqal S.A.S in connection with the USD 15,000 thousand loan entered into by Pasqal USA with the Illinois Finance Authority, amounting to €13,165 thousand as of June 30, 2026;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a corporate guarantee granted by Pasqal S.A.S to Investissement Québec in connection with the CAD 15,000 thousand loan entered into by Pasqal Canada, amounting to €9,248 thousand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Other commitments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commitments mainly comprise: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pPr>
            <w:r>
              <w:rPr/>
              <w:t>commitments and guarantees entered into in connection with customer contracts, notably the first-demand bank guarantees issued in connection with the Saudi Aramco and Cineca contracts, amounting respectively to €9,462 and €1,299 thousand as of June 30,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6"/>
        <w:gridCol w:w="10071"/>
      </w:tblGrid>
      <w:tr>
        <w:trPr/>
        <w:tc>
          <w:tcPr>
            <w:tcW w:w="38"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1" w:type="dxa"/>
            <w:tcBorders/>
            <w:vAlign w:val="center"/>
          </w:tcPr>
          <w:p>
            <w:pPr>
              <w:pStyle w:val="TableContents"/>
              <w:bidi w:val="0"/>
              <w:spacing w:before="0" w:after="283"/>
              <w:jc w:val="left"/>
              <w:rPr/>
            </w:pPr>
            <w:r>
              <w:rPr/>
              <w:t>security interests and counter-guarantees provided in connection with these bank guarantees, comprising:</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a pledge granted to HSBC over a receivable relating to a term deposit in connection with the Saudi Aramco guarantee, amounting to €7,570 thousand as of June 30, 2026; and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in connection with the Cineca guarantee, a cash collateral pledged to HSBC amounting to €260 thousand and a counter-guarantee provided by Bpifrance to HSBC amounting to €1,039 thousand as of June 30, 2026; and</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3" w:type="dxa"/>
            <w:tcBorders/>
            <w:vAlign w:val="center"/>
          </w:tcPr>
          <w:p>
            <w:pPr>
              <w:pStyle w:val="TableContents"/>
              <w:bidi w:val="0"/>
              <w:spacing w:before="0" w:after="283"/>
              <w:jc w:val="left"/>
              <w:rPr/>
            </w:pPr>
            <w:r>
              <w:rPr/>
              <w:t>the commitment granted to BDC Capital Inc. in connection with the Aeponyx promissory note amounting to CAD 3,000 thousand (approximately €1,866 thousand) as of June 30, 2026.</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 Commitments received</w:t>
      </w:r>
    </w:p>
    <w:p>
      <w:pPr>
        <w:pStyle w:val="TextBody"/>
        <w:bidi w:val="0"/>
        <w:spacing w:before="0" w:after="0"/>
        <w:ind w:left="0" w:right="0" w:hanging="0"/>
        <w:jc w:val="left"/>
        <w:rPr>
          <w:caps w:val="false"/>
          <w:smallCaps w:val="false"/>
        </w:rPr>
      </w:pPr>
      <w:r>
        <w:rPr>
          <w:caps w:val="false"/>
          <w:smallCaps w:val="false"/>
        </w:rPr>
        <w:t> </w:t>
      </w:r>
    </w:p>
    <w:tbl>
      <w:tblPr>
        <w:tblW w:w="6673" w:type="dxa"/>
        <w:jc w:val="left"/>
        <w:tblInd w:w="0" w:type="dxa"/>
        <w:tblLayout w:type="fixed"/>
        <w:tblCellMar>
          <w:top w:w="0" w:type="dxa"/>
          <w:left w:w="0" w:type="dxa"/>
          <w:bottom w:w="28" w:type="dxa"/>
          <w:right w:w="0" w:type="dxa"/>
        </w:tblCellMar>
      </w:tblPr>
      <w:tblGrid>
        <w:gridCol w:w="4130"/>
        <w:gridCol w:w="60"/>
        <w:gridCol w:w="70"/>
        <w:gridCol w:w="804"/>
        <w:gridCol w:w="60"/>
        <w:gridCol w:w="60"/>
        <w:gridCol w:w="114"/>
        <w:gridCol w:w="1300"/>
        <w:gridCol w:w="75"/>
      </w:tblGrid>
      <w:tr>
        <w:trPr/>
        <w:tc>
          <w:tcPr>
            <w:tcW w:w="413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75" w:type="dxa"/>
            <w:tcBorders/>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pPr>
            <w:r>
              <w:rPr/>
              <w:t>Undrawn Investissement Québec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5,983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6,029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left"/>
              <w:rPr/>
            </w:pPr>
            <w:r>
              <w:rPr/>
              <w:t>Undrawn Illinois Finance Authority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right"/>
              <w:rPr/>
            </w:pPr>
            <w:r>
              <w:rPr/>
              <w:t>7,899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300" w:type="dxa"/>
            <w:tcBorders/>
            <w:shd w:fill="FFFFFF" w:val="clear"/>
            <w:tcMar>
              <w:bottom w:w="0" w:type="dxa"/>
            </w:tcMar>
            <w:vAlign w:val="center"/>
          </w:tcPr>
          <w:p>
            <w:pPr>
              <w:pStyle w:val="TableContents"/>
              <w:bidi w:val="0"/>
              <w:spacing w:before="0" w:after="283"/>
              <w:jc w:val="right"/>
              <w:rPr/>
            </w:pPr>
            <w:r>
              <w:rPr/>
              <w:t>7,671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pPr>
            <w:r>
              <w:rPr/>
              <w:t>Undrawn Korean government grant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10,865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300" w:type="dxa"/>
            <w:tcBorders/>
            <w:shd w:fill="CCEEFF" w:val="clear"/>
            <w:tcMar>
              <w:bottom w:w="0" w:type="dxa"/>
            </w:tcMar>
            <w:vAlign w:val="center"/>
          </w:tcPr>
          <w:p>
            <w:pPr>
              <w:pStyle w:val="TableContents"/>
              <w:bidi w:val="0"/>
              <w:spacing w:before="0" w:after="283"/>
              <w:jc w:val="right"/>
              <w:rPr/>
            </w:pPr>
            <w:r>
              <w:rPr/>
              <w:t>11,168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30" w:type="dxa"/>
            <w:tcBorders/>
            <w:shd w:fill="FFFFFF" w:val="clear"/>
            <w:tcMar>
              <w:bottom w:w="0" w:type="dxa"/>
            </w:tcMar>
            <w:vAlign w:val="center"/>
          </w:tcPr>
          <w:p>
            <w:pPr>
              <w:pStyle w:val="TableContents"/>
              <w:bidi w:val="0"/>
              <w:spacing w:before="0" w:after="283"/>
              <w:jc w:val="left"/>
              <w:rPr/>
            </w:pPr>
            <w:r>
              <w:rPr/>
              <w:t>Other commitments received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804" w:type="dxa"/>
            <w:tcBorders>
              <w:bottom w:val="single" w:sz="12" w:space="0" w:color="000000"/>
            </w:tcBorders>
            <w:shd w:fill="FFFFFF" w:val="clear"/>
            <w:vAlign w:val="center"/>
          </w:tcPr>
          <w:p>
            <w:pPr>
              <w:pStyle w:val="TableContents"/>
              <w:bidi w:val="0"/>
              <w:spacing w:before="0" w:after="283"/>
              <w:jc w:val="right"/>
              <w:rPr/>
            </w:pPr>
            <w:r>
              <w:rPr/>
              <w:t>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FFFFFF" w:val="clear"/>
            <w:vAlign w:val="center"/>
          </w:tcPr>
          <w:p>
            <w:pPr>
              <w:pStyle w:val="TableContents"/>
              <w:bidi w:val="0"/>
              <w:spacing w:before="0" w:after="283"/>
              <w:jc w:val="left"/>
              <w:rPr/>
            </w:pPr>
            <w:r>
              <w:rPr/>
              <w:t> </w:t>
            </w:r>
          </w:p>
        </w:tc>
        <w:tc>
          <w:tcPr>
            <w:tcW w:w="1300" w:type="dxa"/>
            <w:tcBorders>
              <w:bottom w:val="single" w:sz="12" w:space="0" w:color="000000"/>
            </w:tcBorders>
            <w:shd w:fill="FFFFFF" w:val="clear"/>
            <w:vAlign w:val="center"/>
          </w:tcPr>
          <w:p>
            <w:pPr>
              <w:pStyle w:val="TableContents"/>
              <w:bidi w:val="0"/>
              <w:spacing w:before="0" w:after="283"/>
              <w:jc w:val="right"/>
              <w:rPr>
                <w:b/>
              </w:rPr>
            </w:pPr>
            <w:r>
              <w:rPr>
                <w:b/>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3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804" w:type="dxa"/>
            <w:tcBorders>
              <w:bottom w:val="single" w:sz="12" w:space="0" w:color="000000"/>
            </w:tcBorders>
            <w:shd w:fill="CCEEFF" w:val="clear"/>
            <w:vAlign w:val="center"/>
          </w:tcPr>
          <w:p>
            <w:pPr>
              <w:pStyle w:val="TableContents"/>
              <w:bidi w:val="0"/>
              <w:spacing w:before="0" w:after="283"/>
              <w:jc w:val="right"/>
              <w:rPr>
                <w:b/>
              </w:rPr>
            </w:pPr>
            <w:r>
              <w:rPr>
                <w:b/>
              </w:rPr>
              <w:t>25,307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bottom w:val="single" w:sz="12" w:space="0" w:color="000000"/>
            </w:tcBorders>
            <w:shd w:fill="CCEEFF" w:val="clear"/>
            <w:vAlign w:val="center"/>
          </w:tcPr>
          <w:p>
            <w:pPr>
              <w:pStyle w:val="TableContents"/>
              <w:bidi w:val="0"/>
              <w:spacing w:before="0" w:after="283"/>
              <w:jc w:val="left"/>
              <w:rPr/>
            </w:pPr>
            <w:r>
              <w:rPr/>
              <w:t> </w:t>
            </w:r>
          </w:p>
        </w:tc>
        <w:tc>
          <w:tcPr>
            <w:tcW w:w="1300" w:type="dxa"/>
            <w:tcBorders>
              <w:bottom w:val="single" w:sz="12" w:space="0" w:color="000000"/>
            </w:tcBorders>
            <w:shd w:fill="CCEEFF" w:val="clear"/>
            <w:vAlign w:val="center"/>
          </w:tcPr>
          <w:p>
            <w:pPr>
              <w:pStyle w:val="TableContents"/>
              <w:bidi w:val="0"/>
              <w:spacing w:before="0" w:after="283"/>
              <w:jc w:val="right"/>
              <w:rPr>
                <w:b/>
              </w:rPr>
            </w:pPr>
            <w:r>
              <w:rPr>
                <w:b/>
              </w:rPr>
              <w:t>24,868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had access to an undrawn credit facility with Investissement Québec amounting to CAD 9,704 (approximately €5,983 thousand) thousand, out of a total available facility of CAD 15,000 thousand (approximately €9,248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benefits from a financing arrangement with the Illinois Finance Authority totaling USD 15,000 thousand (approximately €13,165 thousand), of which USD 6,000 thousand (approximately €5,266 thousand) had been drawn as of June 30, 2026, leaving USD 9,000 thousand (approximately €7,899 thousand) available for future drawdown.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€2,716 thousand had been received as of June 30, 2026 and recognized as deferred income (see Note 11). The undrawn portion remains available subject to the Group’s continued compliance with the conditions of the agreement, including committed investment expenditures, employment targets and use of funds for eligible cost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19. Changes in working capital related to operating activities</w:t>
      </w:r>
    </w:p>
    <w:p>
      <w:pPr>
        <w:pStyle w:val="TextBody"/>
        <w:bidi w:val="0"/>
        <w:spacing w:before="0" w:after="0"/>
        <w:ind w:left="360" w:right="0" w:firstLine="360"/>
        <w:jc w:val="left"/>
        <w:rPr>
          <w:caps w:val="false"/>
          <w:smallCaps w:val="false"/>
        </w:rPr>
      </w:pPr>
      <w:r>
        <w:rPr>
          <w:caps w:val="false"/>
          <w:smallCaps w:val="false"/>
        </w:rPr>
        <w:t> </w:t>
      </w:r>
    </w:p>
    <w:tbl>
      <w:tblPr>
        <w:tblW w:w="8813" w:type="dxa"/>
        <w:jc w:val="left"/>
        <w:tblInd w:w="0" w:type="dxa"/>
        <w:tblLayout w:type="fixed"/>
        <w:tblCellMar>
          <w:top w:w="0" w:type="dxa"/>
          <w:left w:w="0" w:type="dxa"/>
          <w:bottom w:w="28" w:type="dxa"/>
          <w:right w:w="0" w:type="dxa"/>
        </w:tblCellMar>
      </w:tblPr>
      <w:tblGrid>
        <w:gridCol w:w="6740"/>
        <w:gridCol w:w="60"/>
        <w:gridCol w:w="64"/>
        <w:gridCol w:w="810"/>
        <w:gridCol w:w="95"/>
        <w:gridCol w:w="60"/>
        <w:gridCol w:w="64"/>
        <w:gridCol w:w="810"/>
        <w:gridCol w:w="110"/>
      </w:tblGrid>
      <w:tr>
        <w:trPr/>
        <w:tc>
          <w:tcPr>
            <w:tcW w:w="6740"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2025</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tcMar>
              <w:bottom w:w="0" w:type="dxa"/>
            </w:tcMar>
            <w:vAlign w:val="center"/>
          </w:tcPr>
          <w:p>
            <w:pPr>
              <w:pStyle w:val="TableContents"/>
              <w:bidi w:val="0"/>
              <w:spacing w:before="0" w:after="283"/>
              <w:jc w:val="left"/>
              <w:rPr>
                <w:b/>
              </w:rPr>
            </w:pPr>
            <w:r>
              <w:rPr>
                <w:b/>
              </w:rPr>
              <w:t>CASH FLOW USED IN OPERATING ACTIVITIES</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b/>
              </w:rPr>
            </w:pPr>
            <w:r>
              <w:rPr>
                <w:b/>
              </w:rPr>
              <w:t>Consolidated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(53,236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b/>
              </w:rPr>
            </w:pPr>
            <w:r>
              <w:rPr>
                <w:b/>
              </w:rPr>
              <w:t>(26,118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6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Depreciation of PPE, amortization of intangible assets and impairments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4,353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4,284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Change in provisions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(4,407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6740" w:type="dxa"/>
            <w:tcBorders/>
            <w:shd w:fill="CCEEFF" w:val="clear"/>
            <w:tcMar>
              <w:bottom w:w="0" w:type="dxa"/>
            </w:tcMar>
            <w:vAlign w:val="center"/>
          </w:tcPr>
          <w:p>
            <w:pPr>
              <w:pStyle w:val="TableContents"/>
              <w:bidi w:val="0"/>
              <w:spacing w:before="0" w:after="283"/>
              <w:jc w:val="left"/>
              <w:rPr>
                <w:sz w:val="20"/>
              </w:rPr>
            </w:pPr>
            <w:r>
              <w:rPr>
                <w:sz w:val="20"/>
              </w:rPr>
              <w:t>Equity-settled share-based payments &amp; other personnel expense</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23,391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692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Change in fair value of financial liabilities at FVTPL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(7,048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3,033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Gain and losses on disposal of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Financial expense – non-cash items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1,728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10" w:type="dxa"/>
            <w:tcBorders/>
            <w:shd w:fill="FFFFFF" w:val="clear"/>
            <w:tcMar>
              <w:bottom w:w="0" w:type="dxa"/>
            </w:tcMar>
            <w:vAlign w:val="center"/>
          </w:tcPr>
          <w:p>
            <w:pPr>
              <w:pStyle w:val="TableContents"/>
              <w:bidi w:val="0"/>
              <w:spacing w:before="0" w:after="283"/>
              <w:jc w:val="right"/>
              <w:rPr/>
            </w:pPr>
            <w:r>
              <w:rPr/>
              <w:t>2,665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Income tax – non-cash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(31</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Interest paid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pPr>
            <w:r>
              <w:rPr/>
              <w:t>188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pPr>
            <w:r>
              <w:rPr/>
              <w:t>406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Change in operating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5,314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(468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Cash used in operating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(25,194</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810" w:type="dxa"/>
            <w:tcBorders>
              <w:bottom w:val="single" w:sz="12" w:space="0" w:color="000000"/>
            </w:tcBorders>
            <w:shd w:fill="FFFFFF" w:val="clear"/>
            <w:vAlign w:val="center"/>
          </w:tcPr>
          <w:p>
            <w:pPr>
              <w:pStyle w:val="TableContents"/>
              <w:bidi w:val="0"/>
              <w:spacing w:before="0" w:after="283"/>
              <w:jc w:val="right"/>
              <w:rPr>
                <w:b/>
              </w:rPr>
            </w:pPr>
            <w:r>
              <w:rPr>
                <w:b/>
              </w:rPr>
              <w:t>(19,956</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i/>
                <w:position w:val="8"/>
                <w:sz w:val="19"/>
              </w:rPr>
            </w:pPr>
            <w:r>
              <w:rPr>
                <w:i/>
                <w:position w:val="8"/>
                <w:sz w:val="19"/>
              </w:rPr>
              <w:t>(1)</w:t>
            </w:r>
          </w:p>
        </w:tc>
        <w:tc>
          <w:tcPr>
            <w:tcW w:w="9958" w:type="dxa"/>
            <w:tcBorders/>
            <w:vAlign w:val="center"/>
          </w:tcPr>
          <w:p>
            <w:pPr>
              <w:pStyle w:val="TableContents"/>
              <w:bidi w:val="0"/>
              <w:spacing w:before="0" w:after="283"/>
              <w:jc w:val="both"/>
              <w:rPr>
                <w:i/>
              </w:rPr>
            </w:pPr>
            <w:r>
              <w:rPr>
                <w:i/>
              </w:rPr>
              <w:t>Includes equity-settled share-based payment expense for €23,334 thousand (€559 thousand in 2025) and expense relating to post-combination services in relation with the MCF acquisition for €56 thousand (€133 thousand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working capital is disclosed below:</w:t>
      </w:r>
    </w:p>
    <w:p>
      <w:pPr>
        <w:pStyle w:val="TextBody"/>
        <w:bidi w:val="0"/>
        <w:spacing w:before="0" w:after="0"/>
        <w:ind w:left="0" w:right="0" w:hanging="0"/>
        <w:jc w:val="left"/>
        <w:rPr>
          <w:caps w:val="false"/>
          <w:smallCaps w:val="false"/>
        </w:rPr>
      </w:pPr>
      <w:r>
        <w:rPr>
          <w:caps w:val="false"/>
          <w:smallCaps w:val="false"/>
        </w:rPr>
        <w:t> </w:t>
      </w:r>
    </w:p>
    <w:tbl>
      <w:tblPr>
        <w:tblW w:w="6758" w:type="dxa"/>
        <w:jc w:val="left"/>
        <w:tblInd w:w="0" w:type="dxa"/>
        <w:tblLayout w:type="fixed"/>
        <w:tblCellMar>
          <w:top w:w="0" w:type="dxa"/>
          <w:left w:w="0" w:type="dxa"/>
          <w:bottom w:w="28" w:type="dxa"/>
          <w:right w:w="0" w:type="dxa"/>
        </w:tblCellMar>
      </w:tblPr>
      <w:tblGrid>
        <w:gridCol w:w="4625"/>
        <w:gridCol w:w="60"/>
        <w:gridCol w:w="75"/>
        <w:gridCol w:w="799"/>
        <w:gridCol w:w="95"/>
        <w:gridCol w:w="60"/>
        <w:gridCol w:w="80"/>
        <w:gridCol w:w="854"/>
        <w:gridCol w:w="110"/>
      </w:tblGrid>
      <w:tr>
        <w:trPr/>
        <w:tc>
          <w:tcPr>
            <w:tcW w:w="4625" w:type="dxa"/>
            <w:tcBorders>
              <w:bottom w:val="single" w:sz="12" w:space="0" w:color="000000"/>
            </w:tcBorders>
            <w:vAlign w:val="center"/>
          </w:tcPr>
          <w:p>
            <w:pPr>
              <w:pStyle w:val="TableContents"/>
              <w:bidi w:val="0"/>
              <w:spacing w:before="0" w:after="283"/>
              <w:jc w:val="left"/>
              <w:rPr>
                <w:b/>
              </w:rPr>
            </w:pPr>
            <w:r>
              <w:rPr>
                <w:b/>
              </w:rPr>
              <w:t>In € thousand</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4625" w:type="dxa"/>
            <w:tcBorders/>
            <w:shd w:fill="CCEEFF" w:val="clear"/>
            <w:tcMar>
              <w:bottom w:w="0" w:type="dxa"/>
            </w:tcMar>
            <w:vAlign w:val="center"/>
          </w:tcPr>
          <w:p>
            <w:pPr>
              <w:pStyle w:val="TableContents"/>
              <w:bidi w:val="0"/>
              <w:spacing w:before="0" w:after="283"/>
              <w:jc w:val="left"/>
              <w:rPr>
                <w:b/>
              </w:rPr>
            </w:pPr>
            <w:r>
              <w:rPr>
                <w:b/>
              </w:rPr>
              <w:t>Change in operating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b/>
              </w:rPr>
            </w:pPr>
            <w:r>
              <w:rPr>
                <w:b/>
              </w:rPr>
              <w:t>5,314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854" w:type="dxa"/>
            <w:tcBorders>
              <w:bottom w:val="single" w:sz="12" w:space="0" w:color="000000"/>
            </w:tcBorders>
            <w:shd w:fill="CCEEFF" w:val="clear"/>
            <w:vAlign w:val="center"/>
          </w:tcPr>
          <w:p>
            <w:pPr>
              <w:pStyle w:val="TableContents"/>
              <w:bidi w:val="0"/>
              <w:spacing w:before="0" w:after="283"/>
              <w:jc w:val="right"/>
              <w:rPr>
                <w:b/>
              </w:rPr>
            </w:pPr>
            <w:r>
              <w:rPr>
                <w:b/>
              </w:rPr>
              <w:t>(468</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625" w:type="dxa"/>
            <w:tcBorders/>
            <w:shd w:fill="FFFFFF" w:val="clear"/>
            <w:tcMar>
              <w:bottom w:w="0" w:type="dxa"/>
            </w:tcMar>
            <w:vAlign w:val="center"/>
          </w:tcPr>
          <w:p>
            <w:pPr>
              <w:pStyle w:val="TableContents"/>
              <w:bidi w:val="0"/>
              <w:spacing w:before="0" w:after="283"/>
              <w:jc w:val="left"/>
              <w:rPr>
                <w:sz w:val="20"/>
              </w:rPr>
            </w:pPr>
            <w:r>
              <w:rPr>
                <w:sz w:val="20"/>
              </w:rPr>
              <w:t xml:space="preserve">Change in inventories </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(3,497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(2,802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283"/>
              <w:jc w:val="left"/>
              <w:rPr/>
            </w:pPr>
            <w:r>
              <w:rPr/>
              <w:t>Change in trade receivables and related accounts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(494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780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25" w:type="dxa"/>
            <w:tcBorders/>
            <w:shd w:fill="FFFFFF" w:val="clear"/>
            <w:tcMar>
              <w:bottom w:w="0" w:type="dxa"/>
            </w:tcMar>
            <w:vAlign w:val="center"/>
          </w:tcPr>
          <w:p>
            <w:pPr>
              <w:pStyle w:val="TableContents"/>
              <w:bidi w:val="0"/>
              <w:spacing w:before="0" w:after="283"/>
              <w:jc w:val="left"/>
              <w:rPr/>
            </w:pPr>
            <w:r>
              <w:rPr/>
              <w:t>Change in 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799" w:type="dxa"/>
            <w:tcBorders/>
            <w:shd w:fill="FFFFFF" w:val="clear"/>
            <w:tcMar>
              <w:bottom w:w="0" w:type="dxa"/>
            </w:tcMar>
            <w:vAlign w:val="center"/>
          </w:tcPr>
          <w:p>
            <w:pPr>
              <w:pStyle w:val="TableContents"/>
              <w:bidi w:val="0"/>
              <w:spacing w:before="0" w:after="283"/>
              <w:jc w:val="right"/>
              <w:rPr/>
            </w:pPr>
            <w:r>
              <w:rPr/>
              <w:t>(5,636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(7,213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283"/>
              <w:jc w:val="left"/>
              <w:rPr/>
            </w:pPr>
            <w:r>
              <w:rPr/>
              <w:t>Change in trade payables and related accounts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799" w:type="dxa"/>
            <w:tcBorders/>
            <w:shd w:fill="CCEEFF" w:val="clear"/>
            <w:tcMar>
              <w:bottom w:w="0" w:type="dxa"/>
            </w:tcMar>
            <w:vAlign w:val="center"/>
          </w:tcPr>
          <w:p>
            <w:pPr>
              <w:pStyle w:val="TableContents"/>
              <w:bidi w:val="0"/>
              <w:spacing w:before="0" w:after="283"/>
              <w:jc w:val="right"/>
              <w:rPr/>
            </w:pPr>
            <w:r>
              <w:rPr/>
              <w:t>4,368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3,756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625" w:type="dxa"/>
            <w:tcBorders/>
            <w:shd w:fill="FFFFFF" w:val="clear"/>
            <w:tcMar>
              <w:bottom w:w="0" w:type="dxa"/>
            </w:tcMar>
            <w:vAlign w:val="center"/>
          </w:tcPr>
          <w:p>
            <w:pPr>
              <w:pStyle w:val="TableContents"/>
              <w:bidi w:val="0"/>
              <w:spacing w:before="0" w:after="283"/>
              <w:jc w:val="left"/>
              <w:rPr/>
            </w:pPr>
            <w:r>
              <w:rPr/>
              <w:t>Change in contract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799" w:type="dxa"/>
            <w:tcBorders>
              <w:bottom w:val="single" w:sz="12" w:space="0" w:color="000000"/>
            </w:tcBorders>
            <w:shd w:fill="FFFFFF" w:val="clear"/>
            <w:vAlign w:val="center"/>
          </w:tcPr>
          <w:p>
            <w:pPr>
              <w:pStyle w:val="TableContents"/>
              <w:bidi w:val="0"/>
              <w:spacing w:before="0" w:after="283"/>
              <w:jc w:val="right"/>
              <w:rPr/>
            </w:pPr>
            <w:r>
              <w:rPr/>
              <w:t>4,024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FFFFFF" w:val="clear"/>
            <w:vAlign w:val="center"/>
          </w:tcPr>
          <w:p>
            <w:pPr>
              <w:pStyle w:val="TableContents"/>
              <w:bidi w:val="0"/>
              <w:spacing w:before="0" w:after="283"/>
              <w:jc w:val="left"/>
              <w:rPr/>
            </w:pPr>
            <w:r>
              <w:rPr/>
              <w:t> </w:t>
            </w:r>
          </w:p>
        </w:tc>
        <w:tc>
          <w:tcPr>
            <w:tcW w:w="854" w:type="dxa"/>
            <w:tcBorders>
              <w:bottom w:val="single" w:sz="12" w:space="0" w:color="000000"/>
            </w:tcBorders>
            <w:shd w:fill="FFFFFF" w:val="clear"/>
            <w:vAlign w:val="center"/>
          </w:tcPr>
          <w:p>
            <w:pPr>
              <w:pStyle w:val="TableContents"/>
              <w:bidi w:val="0"/>
              <w:spacing w:before="0" w:after="283"/>
              <w:jc w:val="right"/>
              <w:rPr/>
            </w:pPr>
            <w:r>
              <w:rPr/>
              <w:t>2,033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625" w:type="dxa"/>
            <w:tcBorders/>
            <w:shd w:fill="CCEEFF" w:val="clear"/>
            <w:tcMar>
              <w:bottom w:w="0" w:type="dxa"/>
            </w:tcMar>
            <w:vAlign w:val="center"/>
          </w:tcPr>
          <w:p>
            <w:pPr>
              <w:pStyle w:val="TableContents"/>
              <w:bidi w:val="0"/>
              <w:spacing w:before="0" w:after="283"/>
              <w:jc w:val="left"/>
              <w:rPr/>
            </w:pPr>
            <w:r>
              <w:rPr/>
              <w:t>Change in other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799" w:type="dxa"/>
            <w:tcBorders>
              <w:bottom w:val="single" w:sz="12" w:space="0" w:color="000000"/>
            </w:tcBorders>
            <w:shd w:fill="CCEEFF" w:val="clear"/>
            <w:vAlign w:val="center"/>
          </w:tcPr>
          <w:p>
            <w:pPr>
              <w:pStyle w:val="TableContents"/>
              <w:bidi w:val="0"/>
              <w:spacing w:before="0" w:after="283"/>
              <w:jc w:val="right"/>
              <w:rPr/>
            </w:pPr>
            <w:r>
              <w:rPr/>
              <w:t>6,550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854" w:type="dxa"/>
            <w:tcBorders>
              <w:bottom w:val="single" w:sz="12" w:space="0" w:color="000000"/>
            </w:tcBorders>
            <w:shd w:fill="CCEEFF" w:val="clear"/>
            <w:vAlign w:val="center"/>
          </w:tcPr>
          <w:p>
            <w:pPr>
              <w:pStyle w:val="TableContents"/>
              <w:bidi w:val="0"/>
              <w:spacing w:before="0" w:after="283"/>
              <w:jc w:val="right"/>
              <w:rPr/>
            </w:pPr>
            <w:r>
              <w:rPr/>
              <w:t>2,976</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i/>
                <w:position w:val="8"/>
                <w:sz w:val="19"/>
              </w:rPr>
            </w:pPr>
            <w:r>
              <w:rPr>
                <w:i/>
                <w:position w:val="8"/>
                <w:sz w:val="19"/>
              </w:rPr>
              <w:t>(1)</w:t>
            </w:r>
          </w:p>
        </w:tc>
        <w:tc>
          <w:tcPr>
            <w:tcW w:w="9960" w:type="dxa"/>
            <w:tcBorders/>
            <w:vAlign w:val="center"/>
          </w:tcPr>
          <w:p>
            <w:pPr>
              <w:pStyle w:val="TableContents"/>
              <w:bidi w:val="0"/>
              <w:spacing w:before="0" w:after="283"/>
              <w:jc w:val="both"/>
              <w:rPr>
                <w:i/>
              </w:rPr>
            </w:pPr>
            <w:r>
              <w:rPr>
                <w:i/>
              </w:rPr>
              <w:t>Difference with the change in inventory in the consolidated statement of profit or loss is mainly explained by items that do not impact profit or loss, including foreign exchange effects and certain reclassifications (see Note 6.3 for further disclosures).</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20. Events after the reporting period</w:t>
      </w:r>
    </w:p>
    <w:p>
      <w:pPr>
        <w:pStyle w:val="TextBody"/>
        <w:bidi w:val="0"/>
        <w:spacing w:before="0" w:after="0"/>
        <w:ind w:left="36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 Completion of Business Combination and Listing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SEC declared effective the registration statement filed in connection with the Business Combination. On August 27, 2026, Bleichroeder, Merger Sub and Pasqal Holding SAS consummated the Business Combination as described in Note 2. Former Pasqal Holding SAS shareholders exchanged their shares for equity interests in New Pasqal using an exchange ratio of approximately 22.736 (the “Exchange Ratio”), resulting in the issuance of 199,999,960 New Pasqal ordinary shares. Upon completion of the Business Combination, the combined company became a publicly traded company and its ordinary shares commenced trading on the Nasdaq stock market under the ticker symbol “PSQL”. In addition, the company’s Warrants commenced trading on Nasdaq under the ticker symbol “PSQLW”.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constitutes a significant non-adjusting subsequent event that did not affect the measurement of assets and liabilities as of June 30, 2026 and therefore has not been reflected in these financial statements. The amount in trust after redemptions amounted to €27.7 million. The Business Combination will be accounted for as a capital reorganization within the scope of IFRS 2. Bleichroeder will be treated as the acquired company for accounting purposes, with Pasqal Holding SAS being the acquirer. The net assets of Bleichroeder will be stated at historical cost, with no goodwill or other intangible assets recorded. In accordance with IFRS 2, any excess of the fair value of New Pasqal ordinary shares issued to Bleichroeder shareholders over the fair value of the identifiable net assets of Bleichroeder acquired represents compensation for the service of a stock exchange listing and will be expensed as incurred. The transaction is expected to result in the recognition of a listing services expense in profit or loss of approximately €115.6 million, representing the excess of the estimated fair value of the New Pasqal ordinary shares issued (approximately €102.5 million) over Bleichroeder’s net liabilities (approximately €13.1 million).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Groupe reorganization</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On April 7, 2026, the technical milestone underlying the issuance of 55,384 Milestone Shares in connection with the Aeponyx acquisition was determined to have been successfully achieved. As a result, and following delivery of the notice of the conversion event required under the share purchase agreement, the Milestone Shares were converted automatically into an equivalent number of Exchangeable Shares effective as of August 25, 2026. On August 27, 2026, the Exchangeable Shares then outstanding were acquired by Circuits intégrés photoniques Inc., an indirect wholly owned subsidiary of Pasqal Holding S.A.S., in consideration for the issuance by Pasqal Holding S.A.S. directly to the holders of an equal number of Pasqal Holding S.A.S. Series C shares. This event will be reflected in the Group’s consolidated financial statements for the year ending December 31, 2026.</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Subsequent to June 30, 2026, and prior to the consummation of the Merger, the Company implemented several modifications to its share-based payment arrangements in connection with its corporate reorganization and the creation of Pasqal Holding SAS, resulting in the issuance of 440,131 BSPCEs. These modifications included: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left"/>
              <w:rPr/>
            </w:pPr>
            <w:r>
              <w:rPr/>
              <w:t>The replacement of outstanding BSPCE awards. The replacement awards were implemented to align existing plans with the post-transaction capital structure and to ensure the continuity of employee and executive participation in the future growth of the Group. As part of this process, an additional 19,070 BSPCEs were granted to preserve the economic position of holders affected by the alignment of existing plans. The modifications will be accounted for prospectively under the IFRS 2 modification guidance. The Company does not expect any material incremental fair value to arise from these modifications.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The grant of 12,000 BSPCEs to certain employees. As these awards had not been communicated to the beneficiaries as of June 30, 2026, they do not impact the financial statements for the period then ended.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 connection with the Merger, each BSPCE was assumed by New Pasqal and grants the right to subscribe for ordinary shares, with the number of shares adjusted to reflect the Exchange Ratio provided by the French Merger Agreement dated July 3, 2026, as amended on July 27, 2026. Each BSPCE remains subject to the same terms and conditions as were applicable to the corresponding BSPCE as of immediately prior to the effective time of the Merger (including vesting, exercise period and expiration date).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 agreements will be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replacement of Pasqal Holding SAS awards with New Pasqal awards shall be subject to modification accounting under IFRS 2. Given that the terms will be substantially the same as those in effect immediately prior to the closing of the Merger, the Company expects no material incremental fair value impact.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Business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17 September 2026, Pasqal announced a strategic partnership with USA Rare Earth and Riven Systems to explore the use of quantum machine learning and automated experimentation to improve rare earth separation processes. The collaboration aims to identify and optimize novel extractant molecules for rare earth processing and further demonstrates the expansion of Pasqal’s quantum computing applications in industrial use cases.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 Financing</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Substantially concurrently with the Closing, the Company consummated the March 2026 Financing, pursuant to which the Company issued $312.5 million aggregate principal amount of Convertible Bonds, initially convertible into 26,041,667 ordinary shares at an initial conversion price of $12.00 per ordinary share, together with 32,552,083 Warrants initially exercisable at $12.00 per ordinary share subject to certain adjustments as set forth therein, for an aggregate subscription price of $250.0 million, reflecting a 20% original issue discount. The Convertible Bonds require settlement through the delivery of a variable number of the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(“FVTPL”). The Warrants are freestanding instruments that do not meet the fixed-for-fixed criterion for equity classification and are classified as derivative financial liabilities measured at FVTPL. At initial recognition, both instruments will be measured at their respective fair values and any difference with the total proceeds received will result in a day-one gain or loss. The Company estimates the fair value of the Convertible Bonds and Warrants at approximately €278.5 million and €99.8 million, respectively. As total proceeds amounted to €212.8 million, the transaction is expected to result in a day-one loss of approximately €165.5 million upon issuance.</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 Changes in scope of consolidation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24 July 2026, the Group incorporated Pasqal UK Hardware R&amp;D Ltd as a wholly owned subsidiary of Pasqal SAS. The entity was established to support the Group’s research and development activities in quantum computing technologies.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24 August 2026, the Group announced an agreement with Eleven Ventures to establish a joint venture intended to deploy, commercialize and scale Pasqal’s quantum computing systems across the Kingdom of Saudi Arabia and the broader Middle East and North Africa region. The joint venture is expected to support the Group’s international expansion and strengthen its presence in the region.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20" w:right="0" w:hanging="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27377</Words>
  <Characters>150698</Characters>
  <CharactersWithSpaces>181271</CharactersWithSpaces>
  <Paragraphs>10488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