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filed with the U.S. Securities and Exchange Commission on October 2, 2026.</w:t>
      </w:r>
    </w:p>
    <w:p>
      <w:pPr>
        <w:pStyle w:val="TextBody"/>
        <w:keepNext w:val="true"/>
        <w:pageBreakBefore w:val="false"/>
        <w:widowControl/>
        <w:pBdr/>
        <w:bidi w:val="0"/>
        <w:spacing w:before="0" w:after="20"/>
        <w:ind w:left="0" w:right="0" w:hanging="0"/>
        <w:jc w:val="right"/>
        <w:rPr>
          <w:rFonts w:ascii="Times New Roman PS Std;serif" w:hAnsi="Times New Roman PS Std;serif"/>
          <w:b/>
          <w:i w:val="false"/>
          <w:caps w:val="false"/>
          <w:smallCaps w:val="false"/>
          <w:sz w:val="20"/>
          <w:bdr w:val="double" w:sz="16" w:space="4" w:color="000000"/>
        </w:rPr>
      </w:pPr>
      <w:r>
        <w:rPr>
          <w:rFonts w:ascii="Times New Roman PS Std;serif" w:hAnsi="Times New Roman PS Std;serif"/>
          <w:b/>
          <w:i w:val="false"/>
          <w:caps w:val="false"/>
          <w:smallCaps w:val="false"/>
          <w:sz w:val="20"/>
          <w:bdr w:val="double" w:sz="16" w:space="4" w:color="000000"/>
        </w:rPr>
        <w:t>Registration No. 333-298830</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POST-EFFECTIVE AMENDMENT NO. 1</w:t>
        <w:br/>
        <w:t>TO</w:t>
        <w:br/>
        <w:t>FORM F-1</w:t>
        <w:br/>
        <w:t>REGISTRATION STATEMENT</w:t>
        <w:br/>
      </w:r>
      <w:r>
        <w:rPr>
          <w:rFonts w:ascii="Times New Roman PS Std;serif" w:hAnsi="Times New Roman PS Std;serif"/>
          <w:b/>
          <w:i/>
          <w:caps w:val="false"/>
          <w:smallCaps w:val="false"/>
          <w:sz w:val="20"/>
        </w:rPr>
        <w:t>UNDER</w:t>
      </w:r>
      <w:r>
        <w:rPr>
          <w:rFonts w:ascii="Times New Roman PS Std;serif" w:hAnsi="Times New Roman PS Std;serif"/>
          <w:b/>
          <w:i w:val="false"/>
          <w:caps w:val="false"/>
          <w:smallCaps w:val="false"/>
          <w:sz w:val="20"/>
        </w:rPr>
        <w:br/>
      </w:r>
      <w:r>
        <w:rPr>
          <w:rFonts w:ascii="Times New Roman PS Std;serif" w:hAnsi="Times New Roman PS Std;serif"/>
          <w:b/>
          <w:i/>
          <w:caps w:val="false"/>
          <w:smallCaps w:val="false"/>
          <w:sz w:val="20"/>
        </w:rPr>
        <w:t>THE SECURITIES ACT OF 1933</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PASQAL HOLDING SA</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(Exact name of registrant as specified in its charter)</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tbl>
      <w:tblPr>
        <w:tblW w:w="9580" w:type="dxa"/>
        <w:jc w:val="left"/>
        <w:tblInd w:w="0" w:type="dxa"/>
        <w:tblLayout w:type="fixed"/>
        <w:tblCellMar>
          <w:top w:w="0" w:type="dxa"/>
          <w:left w:w="0" w:type="dxa"/>
          <w:bottom w:w="0" w:type="dxa"/>
          <w:right w:w="0" w:type="dxa"/>
        </w:tblCellMar>
      </w:tblPr>
      <w:tblGrid>
        <w:gridCol w:w="3406"/>
        <w:gridCol w:w="146"/>
        <w:gridCol w:w="3241"/>
        <w:gridCol w:w="146"/>
        <w:gridCol w:w="2641"/>
      </w:tblGrid>
      <w:tr>
        <w:trPr/>
        <w:tc>
          <w:tcPr>
            <w:tcW w:w="34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Republic of France</w:t>
            </w:r>
          </w:p>
        </w:tc>
        <w:tc>
          <w:tcPr>
            <w:tcW w:w="146" w:type="dxa"/>
            <w:tcBorders/>
            <w:vAlign w:val="bottom"/>
          </w:tcPr>
          <w:p>
            <w:pPr>
              <w:pStyle w:val="TableContents"/>
              <w:bidi w:val="0"/>
              <w:spacing w:before="0" w:after="283"/>
              <w:jc w:val="left"/>
              <w:rPr/>
            </w:pPr>
            <w:r>
              <w:rPr/>
              <w:t> </w:t>
            </w:r>
          </w:p>
        </w:tc>
        <w:tc>
          <w:tcPr>
            <w:tcW w:w="32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7374</w:t>
            </w:r>
          </w:p>
        </w:tc>
        <w:tc>
          <w:tcPr>
            <w:tcW w:w="146" w:type="dxa"/>
            <w:tcBorders/>
            <w:vAlign w:val="bottom"/>
          </w:tcPr>
          <w:p>
            <w:pPr>
              <w:pStyle w:val="TableContents"/>
              <w:bidi w:val="0"/>
              <w:spacing w:before="0" w:after="283"/>
              <w:jc w:val="left"/>
              <w:rPr/>
            </w:pPr>
            <w:r>
              <w:rPr/>
              <w:t> </w:t>
            </w:r>
          </w:p>
        </w:tc>
        <w:tc>
          <w:tcPr>
            <w:tcW w:w="26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406" w:type="dxa"/>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 or other jurisdiction of</w:t>
              <w:br/>
              <w:t>incorporation or organization)</w:t>
            </w:r>
          </w:p>
        </w:tc>
        <w:tc>
          <w:tcPr>
            <w:tcW w:w="146" w:type="dxa"/>
            <w:tcBorders/>
          </w:tcPr>
          <w:p>
            <w:pPr>
              <w:pStyle w:val="TableContents"/>
              <w:bidi w:val="0"/>
              <w:spacing w:before="0" w:after="283"/>
              <w:jc w:val="left"/>
              <w:rPr/>
            </w:pPr>
            <w:r>
              <w:rPr/>
              <w:t> </w:t>
            </w:r>
          </w:p>
        </w:tc>
        <w:tc>
          <w:tcPr>
            <w:tcW w:w="324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(Primary Standard Industrial</w:t>
              <w:br/>
              <w:t>Classification Code Number)</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(I.R.S. Employer</w:t>
              <w:br/>
              <w:t>Identification Number)</w:t>
            </w:r>
          </w:p>
        </w:tc>
      </w:tr>
    </w:tbl>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rue Emile Baudot</w:t>
        <w:br/>
        <w:t>91120 Palaiseau</w:t>
        <w:br/>
        <w:t>France</w:t>
        <w:br/>
        <w:t>+33 (0) 7 49 63 73 31</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(Address, including zip code, and telephone number, including area code, of registrant’s principal executive offices)</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Cogency Global Inc.</w:t>
        <w:br/>
        <w:t>Chief Executive Officer</w:t>
        <w:br/>
        <w:t>122 East 42nd Street, 18th Floor</w:t>
        <w:br/>
        <w:t>New York, NY 10168</w:t>
        <w:br/>
        <w:t>Telephone: 212-947-7200</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 address, including zip code, and telephone number, including area code, of agent for service)</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p>
      <w:pPr>
        <w:pStyle w:val="TextBody"/>
        <w:keepNext w:val="true"/>
        <w:pageBreakBefore w:val="false"/>
        <w:widowControl/>
        <w:pBdr/>
        <w:bidi w:val="0"/>
        <w:spacing w:before="2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Albert W. Vanderlaan</w:t>
        <w:br/>
        <w:t>Marsha Mogilevich</w:t>
        <w:br/>
        <w:t>Orrick, Herrington &amp; Sutcliffe LLP</w:t>
        <w:br/>
        <w:t>51 West 52nd Street</w:t>
        <w:br/>
        <w:t>New York, New York 10019</w:t>
        <w:br/>
        <w:t>(617) 880-2219</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p>
      <w:pPr>
        <w:pStyle w:val="TextBody"/>
        <w:keepNext w:val="false"/>
        <w:pageBreakBefore w:val="false"/>
        <w:widowControl/>
        <w:pBdr/>
        <w:bidi w:val="0"/>
        <w:spacing w:before="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Approximate date of commencement of proposed sale to the public: </w:t>
      </w:r>
      <w:r>
        <w:rPr>
          <w:rFonts w:ascii="Times New Roman PS Std;serif" w:hAnsi="Times New Roman PS Std;serif"/>
          <w:b w:val="false"/>
          <w:i w:val="false"/>
          <w:caps w:val="false"/>
          <w:smallCaps w:val="false"/>
          <w:sz w:val="16"/>
        </w:rPr>
        <w:t>From time to time on or after this registration statement is declared effective.</w:t>
      </w:r>
    </w:p>
    <w:p>
      <w:pPr>
        <w:pStyle w:val="TextBody"/>
        <w:keepNext w:val="false"/>
        <w:pageBreakBefore w:val="false"/>
        <w:widowControl/>
        <w:pBdr/>
        <w:bidi w:val="0"/>
        <w:spacing w:before="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3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Indicate by check mark whether the registrant is an emerging growth company as defined in Rule 405 of the Securities Act.</w:t>
      </w:r>
    </w:p>
    <w:p>
      <w:pPr>
        <w:pStyle w:val="TextBody"/>
        <w:keepNext w:val="false"/>
        <w:pageBreakBefore w:val="false"/>
        <w:widowControl/>
        <w:pBdr/>
        <w:bidi w:val="0"/>
        <w:spacing w:before="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6"/>
        </w:rPr>
        <w:t>The term “new or revised financial accounting standard” refers to any update issued by the Financial Accounting Standards Board to its Accounting Standards Codification after April 5, 2012.</w:t>
      </w:r>
    </w:p>
    <w:p>
      <w:pPr>
        <w:pStyle w:val="TextBody"/>
        <w:keepNext w:val="false"/>
        <w:pageBreakBefore w:val="false"/>
        <w:widowControl/>
        <w:pBdr/>
        <w:bidi w:val="0"/>
        <w:spacing w:before="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Pursuant to Rule 429 under the Securities Act, the prospectus contained in this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Amendment No. 1 (this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Amendment”) to the Form F-1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Registration Statement (File No. 333-298830) (as amended, the “Form F-1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Registration Statement”) of Pasqal Holding SA (the “Registrant”) will be used as a combined prospectus in relation to</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(i)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Form F-1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Registration Statement and (ii) the Registration Statement on Form F-4, as amended (File No. 333-296239) that was declared effective by the Securities and Exchange Commission on August 5, 2026 (the “F-4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Registration Statement”). This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Amendment constitutes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Amendment No. 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to the F-4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Registration Statement. Such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Amendment will become effective concurrently with the effectiveness of this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Amendment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in accordance with Section 8(c) of the Securities Act.</w:t>
      </w:r>
    </w:p>
    <w:p>
      <w:pPr>
        <w:pStyle w:val="TextBody"/>
        <w:keepNext w:val="false"/>
        <w:pageBreakBefore w:val="false"/>
        <w:widowControl/>
        <w:pBdr/>
        <w:bidi w:val="0"/>
        <w:spacing w:before="3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keepNext w:val="false"/>
        <w:pageBreakBefore w:val="false"/>
        <w:widowControl/>
        <w:pBdr/>
        <w:bidi w:val="0"/>
        <w:spacing w:before="0" w:after="283"/>
        <w:ind w:left="0" w:right="0" w:hanging="0"/>
        <w:jc w:val="left"/>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Post-Effective Amendment No. 1 to the Form F-1 Registration Statement (File No. 333-298830), as originally declared effective by the Securities and Exchange Commission on September 18, 2026, is being filed pursuant to the undertakings in the F-1 Registration Statement to update and supplement the information contained in the F-1 Registration Statement to, among other things, and include the Registrant’s unaudited interim condensed consolidated financial statements as of June 30, 2026 and for the six months ended June 30, 2026 and 2025 and the notes thereto and certain other updates.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additional securities are being registered under this Post-Effective Amendment. The applicable registration fees were paid at the time of the original filing of the Registration Statement.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preliminary prospectus is not complete and may be changed. Neither we nor the selling security holders may sell these securities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color w:val="D2232A"/>
          <w:sz w:val="20"/>
        </w:rPr>
        <w:t>Subject to Completion, Dated October 2,</w:t>
      </w:r>
      <w:r>
        <w:rPr>
          <w:rFonts w:ascii="Times New Roman PS Std;serif" w:hAnsi="Times New Roman PS Std;serif"/>
          <w:b w:val="false"/>
          <w:i w:val="false"/>
          <w:caps w:val="false"/>
          <w:smallCaps w:val="false"/>
          <w:color w:val="D2232A"/>
          <w:sz w:val="20"/>
        </w:rPr>
        <w:t xml:space="preserve"> </w:t>
      </w:r>
      <w:r>
        <w:rPr>
          <w:rFonts w:ascii="Times New Roman PS Std;serif" w:hAnsi="Times New Roman PS Std;serif"/>
          <w:b/>
          <w:i w:val="false"/>
          <w:caps w:val="false"/>
          <w:smallCaps w:val="false"/>
          <w:color w:val="D2232A"/>
          <w:sz w:val="20"/>
        </w:rPr>
        <w:t>2026</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PROSPECTUS</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PASQAL HOLDING SA</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17,333,333 Ordinary Shares Issuable Upon Exercise of Warrants</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and</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286,674,886 Ordinary Shares</w:t>
        <w:br/>
        <w:t>Up to 7,750,000 Private Placement Warrants</w:t>
        <w:br/>
        <w:t>Offered by the Selling Securityholders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issuance by us of an aggregate of up to 17,333,333 ordinary shares, €0.02 par value per share (the “</w:t>
      </w:r>
      <w:r>
        <w:rPr>
          <w:rFonts w:ascii="Times New Roman PS Std;serif" w:hAnsi="Times New Roman PS Std;serif"/>
          <w:b/>
          <w:i w:val="false"/>
          <w:caps w:val="false"/>
          <w:smallCaps w:val="false"/>
          <w:sz w:val="20"/>
        </w:rPr>
        <w:t>Ordinary Shares</w:t>
      </w:r>
      <w:r>
        <w:rPr>
          <w:rFonts w:ascii="Times New Roman PS Std;serif" w:hAnsi="Times New Roman PS Std;serif"/>
          <w:b w:val="false"/>
          <w:i w:val="false"/>
          <w:caps w:val="false"/>
          <w:smallCaps w:val="false"/>
          <w:sz w:val="20"/>
        </w:rPr>
        <w:t>”), which consists of (i) up to 9,583,333 Ordinary Shares that are issuable upon the exercise of 9,583,333 warrants (the “</w:t>
      </w:r>
      <w:r>
        <w:rPr>
          <w:rFonts w:ascii="Times New Roman PS Std;serif" w:hAnsi="Times New Roman PS Std;serif"/>
          <w:b/>
          <w:i w:val="false"/>
          <w:caps w:val="false"/>
          <w:smallCaps w:val="false"/>
          <w:sz w:val="20"/>
        </w:rPr>
        <w:t>Public Warrants</w:t>
      </w:r>
      <w:r>
        <w:rPr>
          <w:rFonts w:ascii="Times New Roman PS Std;serif" w:hAnsi="Times New Roman PS Std;serif"/>
          <w:b w:val="false"/>
          <w:i w:val="false"/>
          <w:caps w:val="false"/>
          <w:smallCaps w:val="false"/>
          <w:sz w:val="20"/>
        </w:rPr>
        <w:t>”) originally issued in the initial public offering of Bleichroeder Acquisition Corp. II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and (ii) up to 7,750,000 Ordinary Shares that are issuable upon the exercise of 7,750,000 warrants (the “</w:t>
      </w:r>
      <w:r>
        <w:rPr>
          <w:rFonts w:ascii="Times New Roman PS Std;serif" w:hAnsi="Times New Roman PS Std;serif"/>
          <w:b/>
          <w:i w:val="false"/>
          <w:caps w:val="false"/>
          <w:smallCaps w:val="false"/>
          <w:sz w:val="20"/>
        </w:rPr>
        <w:t>Private Placement Warrants</w:t>
      </w:r>
      <w:r>
        <w:rPr>
          <w:rFonts w:ascii="Times New Roman PS Std;serif" w:hAnsi="Times New Roman PS Std;serif"/>
          <w:b w:val="false"/>
          <w:i w:val="false"/>
          <w:caps w:val="false"/>
          <w:smallCaps w:val="false"/>
          <w:sz w:val="20"/>
        </w:rPr>
        <w:t>” and together with the Public Warrants, the “</w:t>
      </w:r>
      <w:r>
        <w:rPr>
          <w:rFonts w:ascii="Times New Roman PS Std;serif" w:hAnsi="Times New Roman PS Std;serif"/>
          <w:b/>
          <w:i w:val="false"/>
          <w:caps w:val="false"/>
          <w:smallCaps w:val="false"/>
          <w:sz w:val="20"/>
        </w:rPr>
        <w:t>Warrants</w:t>
      </w:r>
      <w:r>
        <w:rPr>
          <w:rFonts w:ascii="Times New Roman PS Std;serif" w:hAnsi="Times New Roman PS Std;serif"/>
          <w:b w:val="false"/>
          <w:i w:val="false"/>
          <w:caps w:val="false"/>
          <w:smallCaps w:val="false"/>
          <w:sz w:val="20"/>
        </w:rPr>
        <w:t>”) originally issued in a private placement to Bleichroeder Sponsor 2 LLC (the “</w:t>
      </w:r>
      <w:r>
        <w:rPr>
          <w:rFonts w:ascii="Times New Roman PS Std;serif" w:hAnsi="Times New Roman PS Std;serif"/>
          <w:b/>
          <w:i w:val="false"/>
          <w:caps w:val="false"/>
          <w:smallCaps w:val="false"/>
          <w:sz w:val="20"/>
        </w:rPr>
        <w:t>Sponsor</w:t>
      </w:r>
      <w:r>
        <w:rPr>
          <w:rFonts w:ascii="Times New Roman PS Std;serif" w:hAnsi="Times New Roman PS Std;serif"/>
          <w:b w:val="false"/>
          <w:i w:val="false"/>
          <w:caps w:val="false"/>
          <w:smallCaps w:val="false"/>
          <w:sz w:val="20"/>
        </w:rPr>
        <w:t>”), Cohen &amp; Company Securities, LLC (“</w:t>
      </w:r>
      <w:r>
        <w:rPr>
          <w:rFonts w:ascii="Times New Roman PS Std;serif" w:hAnsi="Times New Roman PS Std;serif"/>
          <w:b/>
          <w:i w:val="false"/>
          <w:caps w:val="false"/>
          <w:smallCaps w:val="false"/>
          <w:sz w:val="20"/>
        </w:rPr>
        <w:t>Cohen</w:t>
      </w:r>
      <w:r>
        <w:rPr>
          <w:rFonts w:ascii="Times New Roman PS Std;serif" w:hAnsi="Times New Roman PS Std;serif"/>
          <w:b w:val="false"/>
          <w:i w:val="false"/>
          <w:caps w:val="false"/>
          <w:smallCaps w:val="false"/>
          <w:sz w:val="20"/>
        </w:rPr>
        <w:t>”) and Clear Street LLC (“</w:t>
      </w:r>
      <w:r>
        <w:rPr>
          <w:rFonts w:ascii="Times New Roman PS Std;serif" w:hAnsi="Times New Roman PS Std;serif"/>
          <w:b/>
          <w:i w:val="false"/>
          <w:caps w:val="false"/>
          <w:smallCaps w:val="false"/>
          <w:sz w:val="20"/>
        </w:rPr>
        <w:t>Clear Street</w:t>
      </w:r>
      <w:r>
        <w:rPr>
          <w:rFonts w:ascii="Times New Roman PS Std;serif" w:hAnsi="Times New Roman PS Std;serif"/>
          <w:b w:val="false"/>
          <w:i w:val="false"/>
          <w:caps w:val="false"/>
          <w:smallCaps w:val="false"/>
          <w:sz w:val="20"/>
        </w:rPr>
        <w:t>”) in connection with the initial public offering of Bleichroeder. Each Warrant is exercisable at $11.50 per Ordinary Share, subject to adjustment. We will receive the proceeds from any exercise of the Warrants to the extent such Warrants or Investment Warrants are exercised for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also relates to the offer and sale from time to time by the selling securityholders named in this prospectus or their permitted transferees (the “</w:t>
      </w:r>
      <w:r>
        <w:rPr>
          <w:rFonts w:ascii="Times New Roman PS Std;serif" w:hAnsi="Times New Roman PS Std;serif"/>
          <w:b/>
          <w:i w:val="false"/>
          <w:caps w:val="false"/>
          <w:smallCaps w:val="false"/>
          <w:sz w:val="20"/>
        </w:rPr>
        <w:t>Selling Securityholders</w:t>
      </w:r>
      <w:r>
        <w:rPr>
          <w:rFonts w:ascii="Times New Roman PS Std;serif" w:hAnsi="Times New Roman PS Std;serif"/>
          <w:b w:val="false"/>
          <w:i w:val="false"/>
          <w:caps w:val="false"/>
          <w:smallCaps w:val="false"/>
          <w:sz w:val="20"/>
        </w:rPr>
        <w:t>”) of (i) up to 286,674,886 Ordinary Shares, consisting of (a) up to 56,287,179 Ordinary Shares issuable upon conversion of the Senior Unsecured Convertible Bonds (the “</w:t>
      </w:r>
      <w:r>
        <w:rPr>
          <w:rFonts w:ascii="Times New Roman PS Std;serif" w:hAnsi="Times New Roman PS Std;serif"/>
          <w:b/>
          <w:i w:val="false"/>
          <w:caps w:val="false"/>
          <w:smallCaps w:val="false"/>
          <w:sz w:val="20"/>
        </w:rPr>
        <w:t>Convertible Bonds</w:t>
      </w:r>
      <w:r>
        <w:rPr>
          <w:rFonts w:ascii="Times New Roman PS Std;serif" w:hAnsi="Times New Roman PS Std;serif"/>
          <w:b w:val="false"/>
          <w:i w:val="false"/>
          <w:caps w:val="false"/>
          <w:smallCaps w:val="false"/>
          <w:sz w:val="20"/>
        </w:rPr>
        <w:t>”) issued pursuant to the Securities Purchase Agreement, dated as of March 4, 2026 and as amended on May 23, 2026 (the “</w:t>
      </w:r>
      <w:r>
        <w:rPr>
          <w:rFonts w:ascii="Times New Roman PS Std;serif" w:hAnsi="Times New Roman PS Std;serif"/>
          <w:b/>
          <w:i w:val="false"/>
          <w:caps w:val="false"/>
          <w:smallCaps w:val="false"/>
          <w:sz w:val="20"/>
        </w:rPr>
        <w:t>March 2026 SPA</w:t>
      </w:r>
      <w:r>
        <w:rPr>
          <w:rFonts w:ascii="Times New Roman PS Std;serif" w:hAnsi="Times New Roman PS Std;serif"/>
          <w:b w:val="false"/>
          <w:i w:val="false"/>
          <w:caps w:val="false"/>
          <w:smallCaps w:val="false"/>
          <w:sz w:val="20"/>
        </w:rPr>
        <w:t>”), assuming a conversion price of $7.80 per Ordinary Share and taking into account payment-in-kind interest accrued for a period of three years from the Closing Date, (b) up to 50,080,128 Ordinary Shares issuable upon exercise of the Investment Warrants issued pursuant to the March 2026 SPA, assuming an exercise price of $7.80 per Ordinary Share, (c) up to 9,583,333 Ordinary Shares held by certain securityholders, received upon conversion and subsequent distribution by the Sponsor of 9,583,333 Bleichroeder Class B ordinary shares (the “</w:t>
      </w:r>
      <w:r>
        <w:rPr>
          <w:rFonts w:ascii="Times New Roman PS Std;serif" w:hAnsi="Times New Roman PS Std;serif"/>
          <w:b/>
          <w:i w:val="false"/>
          <w:caps w:val="false"/>
          <w:smallCaps w:val="false"/>
          <w:sz w:val="20"/>
        </w:rPr>
        <w:t>Founder Shares</w:t>
      </w:r>
      <w:r>
        <w:rPr>
          <w:rFonts w:ascii="Times New Roman PS Std;serif" w:hAnsi="Times New Roman PS Std;serif"/>
          <w:b w:val="false"/>
          <w:i w:val="false"/>
          <w:caps w:val="false"/>
          <w:smallCaps w:val="false"/>
          <w:sz w:val="20"/>
        </w:rPr>
        <w:t>”) in connection with the Business Combination (defined below), (d) up to 7,750,000 Ordinary Shares issuable upon exercise of the Private Placement Warrants, (e) up to 162,974,246 Ordinary Shares issued to certain former shareholders of Pasqal Holding SAS (“</w:t>
      </w:r>
      <w:r>
        <w:rPr>
          <w:rFonts w:ascii="Times New Roman PS Std;serif" w:hAnsi="Times New Roman PS Std;serif"/>
          <w:b/>
          <w:i w:val="false"/>
          <w:caps w:val="false"/>
          <w:smallCaps w:val="false"/>
          <w:sz w:val="20"/>
        </w:rPr>
        <w:t>Legacy Pasqal</w:t>
      </w:r>
      <w:r>
        <w:rPr>
          <w:rFonts w:ascii="Times New Roman PS Std;serif" w:hAnsi="Times New Roman PS Std;serif"/>
          <w:b w:val="false"/>
          <w:i w:val="false"/>
          <w:caps w:val="false"/>
          <w:smallCaps w:val="false"/>
          <w:sz w:val="20"/>
        </w:rPr>
        <w:t>”) in connection with the Merger (defined below), and (ii) up to 7,750,000 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Ordinary Shares or Private Placement Warrants by the Selling Securityholders pursuant to this prospectus. We will receive the proceeds from any exercise of the Warrants and the Investment Warrants to the extent such Warrants or Investment Warrants are exercised for cash, but not from the sale of the Ordinary Shares issuable upon such exercise.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securities for resale pursuant to the Selling Securityholders’ registration rights under the Amended and Restated Registration Rights Agreement, dated as of August 27, 2026 (as it may be amended, restated or otherwise modified from time to time, the “</w:t>
      </w:r>
      <w:r>
        <w:rPr>
          <w:rFonts w:ascii="Times New Roman PS Std;serif" w:hAnsi="Times New Roman PS Std;serif"/>
          <w:b/>
          <w:i w:val="false"/>
          <w:caps w:val="false"/>
          <w:smallCaps w:val="false"/>
          <w:sz w:val="20"/>
        </w:rPr>
        <w:t>A&amp;R Registration Rights Agreement</w:t>
      </w:r>
      <w:r>
        <w:rPr>
          <w:rFonts w:ascii="Times New Roman PS Std;serif" w:hAnsi="Times New Roman PS Std;serif"/>
          <w:b w:val="false"/>
          <w:i w:val="false"/>
          <w:caps w:val="false"/>
          <w:smallCaps w:val="false"/>
          <w:sz w:val="20"/>
        </w:rPr>
        <w:t>”). Our registration of the securities covered by this prospectus does not mean that the Selling Securityholders will offer or sell any of the Ordinary Shares or Private Placement Warrants. The Selling Securityholders may offer, sell or distribute all or a portion of the securities hereby registered publicly or through private transactions at prevailing market prices or at negotiated prices. See the section titled “Plan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and Public Warrants are listed on The Nasdaq Stock Market LLC (“Nasdaq”) under the symbols “PSQL” and “PSQLW,” respectively. On October 1, 2026, the last reported sales price of our Ordinary Shares on Nasdaq was $6.26 per share, and the last reported sales price of our Public Warrants on Nasdaq was $1.05 per warrant.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“short-swing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profit recovery provisions under Section 16 of the Exchange Act. Moreover, under U.S. federal securities laws, we are not required to file periodic reports and financial statements with the U.S. Securities and Exchange Commission as frequently or as promptly as U.S. companies whose securities are registered under the Exchange Act. Additionally, Nasdaq rules allow foreign private issuers to follow home country practices in lieu of certain Nasdaq corporate governance rules. As a result, our shareholders may not have the same protections afforded to shareholders of companies that are subject to all Nasdaq corporate governance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You should review carefully the risks and uncertainties described in the section titled “Risk Factors” beginning on page 7</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this prospectus, and under similar headings in any amendments or supplements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date of this prospectus is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 xml:space="preserve">ABOUT THIS PROSPECTUS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2">
              <w:r>
                <w:rPr>
                  <w:rStyle w:val="InternetLink"/>
                  <w:rFonts w:ascii="Times New Roman PS Std;serif" w:hAnsi="Times New Roman PS Std;serif"/>
                  <w:b w:val="false"/>
                  <w:i w:val="false"/>
                  <w:caps w:val="false"/>
                  <w:smallCaps w:val="false"/>
                  <w:sz w:val="20"/>
                </w:rPr>
                <w:t xml:space="preserve">CAUTIONARY NOTE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3">
              <w:r>
                <w:rPr>
                  <w:rStyle w:val="InternetLink"/>
                  <w:rFonts w:ascii="Times New Roman PS Std;serif" w:hAnsi="Times New Roman PS Std;serif"/>
                  <w:b w:val="false"/>
                  <w:i w:val="false"/>
                  <w:caps w:val="false"/>
                  <w:smallCaps w:val="false"/>
                  <w:sz w:val="20"/>
                </w:rPr>
                <w:t xml:space="preserve">FREQUENTLY USED TERMS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4">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5">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6">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7">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8">
              <w:r>
                <w:rPr>
                  <w:rStyle w:val="InternetLink"/>
                  <w:rFonts w:ascii="Times New Roman PS Std;serif" w:hAnsi="Times New Roman PS Std;serif"/>
                  <w:b w:val="false"/>
                  <w:i w:val="false"/>
                  <w:caps w:val="false"/>
                  <w:smallCaps w:val="false"/>
                  <w:sz w:val="20"/>
                </w:rPr>
                <w:t xml:space="preserve">MARKET INFORMATION FOR SECURITIES AND DIVIDEND POLICY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9">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1">
              <w:r>
                <w:rPr>
                  <w:rStyle w:val="InternetLink"/>
                  <w:rFonts w:ascii="Times New Roman PS Std;serif" w:hAnsi="Times New Roman PS Std;serif"/>
                  <w:b w:val="false"/>
                  <w:i w:val="false"/>
                  <w:caps w:val="false"/>
                  <w:smallCaps w:val="false"/>
                  <w:sz w:val="20"/>
                </w:rPr>
                <w:t xml:space="preserve">OUR 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2">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3">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4">
              <w:r>
                <w:rPr>
                  <w:rStyle w:val="InternetLink"/>
                  <w:rFonts w:ascii="Times New Roman PS Std;serif" w:hAnsi="Times New Roman PS Std;serif"/>
                  <w:b w:val="false"/>
                  <w:i w:val="false"/>
                  <w:caps w:val="false"/>
                  <w:smallCaps w:val="false"/>
                  <w:sz w:val="20"/>
                </w:rPr>
                <w:t xml:space="preserve">CERTAIN RELATIONSHIPS AND RELATED PERSON TRANSACTIONS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5">
              <w:r>
                <w:rPr>
                  <w:rStyle w:val="InternetLink"/>
                  <w:rFonts w:ascii="Times New Roman PS Std;serif" w:hAnsi="Times New Roman PS Std;serif"/>
                  <w:b w:val="false"/>
                  <w:i w:val="false"/>
                  <w:caps w:val="false"/>
                  <w:smallCaps w:val="false"/>
                  <w:sz w:val="20"/>
                </w:rPr>
                <w:t xml:space="preserve">PRINCIPAL SECURITYHOLDERS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6">
              <w:r>
                <w:rPr>
                  <w:rStyle w:val="InternetLink"/>
                  <w:rFonts w:ascii="Times New Roman PS Std;serif" w:hAnsi="Times New Roman PS Std;serif"/>
                  <w:b w:val="false"/>
                  <w:i w:val="false"/>
                  <w:caps w:val="false"/>
                  <w:smallCaps w:val="false"/>
                  <w:sz w:val="20"/>
                </w:rPr>
                <w:t xml:space="preserve">SELLING SECURITYHOLDERS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7">
              <w:r>
                <w:rPr>
                  <w:rStyle w:val="InternetLink"/>
                  <w:rFonts w:ascii="Times New Roman PS Std;serif" w:hAnsi="Times New Roman PS Std;serif"/>
                  <w:b w:val="false"/>
                  <w:i w:val="false"/>
                  <w:caps w:val="false"/>
                  <w:smallCaps w:val="false"/>
                  <w:sz w:val="20"/>
                </w:rPr>
                <w:t xml:space="preserve">DESCRIPTION OF OUR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8">
              <w:r>
                <w:rPr>
                  <w:rStyle w:val="InternetLink"/>
                  <w:rFonts w:ascii="Times New Roman PS Std;serif" w:hAnsi="Times New Roman PS Std;serif"/>
                  <w:b w:val="false"/>
                  <w:i w:val="false"/>
                  <w:caps w:val="false"/>
                  <w:smallCaps w:val="false"/>
                  <w:sz w:val="20"/>
                </w:rPr>
                <w:t xml:space="preserve">MATERIAL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9">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20">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1">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22">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23">
              <w:r>
                <w:rPr>
                  <w:rStyle w:val="InternetLink"/>
                  <w:rFonts w:ascii="Times New Roman PS Std;serif" w:hAnsi="Times New Roman PS Std;serif"/>
                  <w:b w:val="false"/>
                  <w:i w:val="false"/>
                  <w:caps w:val="false"/>
                  <w:smallCaps w:val="false"/>
                  <w:sz w:val="20"/>
                </w:rPr>
                <w:t xml:space="preserve">INDEX TO FINANCIAL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this prospectus, any supplement to this prospectus or in any free writing prospectus, filed with the Securities and Exchange Commission (the “</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Neither we nor the Selling Securityholders have authorized anyone to provide you with additional information or information different from that contained in this prospectus filed with the SEC. We take no responsibility for, and can provide no assurance as to the reliability of, any other information that others may give you. The Selling Securityholders are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101"/>
      <w:bookmarkEnd w:id="1"/>
      <w:r>
        <w:rPr>
          <w:rFonts w:ascii="Times New Roman PS Std;serif" w:hAnsi="Times New Roman PS Std;serif"/>
          <w:b/>
          <w:i w:val="false"/>
          <w:caps w:val="false"/>
          <w:smallCaps w:val="false"/>
          <w:sz w:val="20"/>
        </w:rPr>
        <w:t xml:space="preserve">ABOUT THIS PROSPECTUS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F-1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Ordinary Shares issuable upon the exercise of any Warrants. We will not receive any proceeds from the sale of Ordinary Shares underlying the Warrants pursuant to this prospectus, except with respect to amounts received by us upon the exercise of the Warrants for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titled “Where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Legacy Pasqal, and Bleichroeder Acquisition France Merger Sub 2, a French société anonyme and a subsidiary of Bleichroeder (“</w:t>
      </w:r>
      <w:r>
        <w:rPr>
          <w:rFonts w:ascii="Times New Roman PS Std;serif" w:hAnsi="Times New Roman PS Std;serif"/>
          <w:b/>
          <w:i w:val="false"/>
          <w:caps w:val="false"/>
          <w:smallCaps w:val="false"/>
          <w:sz w:val="20"/>
        </w:rPr>
        <w:t>Merger Sub</w:t>
      </w:r>
      <w:r>
        <w:rPr>
          <w:rFonts w:ascii="Times New Roman PS Std;serif" w:hAnsi="Times New Roman PS Std;serif"/>
          <w:b w:val="false"/>
          <w:i w:val="false"/>
          <w:caps w:val="false"/>
          <w:smallCaps w:val="false"/>
          <w:sz w:val="20"/>
        </w:rPr>
        <w:t>”), entered into an Agreement and Plan of Merger, dated February 28, 2026 (as amended, the “</w:t>
      </w:r>
      <w:r>
        <w:rPr>
          <w:rFonts w:ascii="Times New Roman PS Std;serif" w:hAnsi="Times New Roman PS Std;serif"/>
          <w:b/>
          <w:i w:val="false"/>
          <w:caps w:val="false"/>
          <w:smallCaps w:val="false"/>
          <w:sz w:val="20"/>
        </w:rPr>
        <w:t>Business Combination Agreement</w:t>
      </w:r>
      <w:r>
        <w:rPr>
          <w:rFonts w:ascii="Times New Roman PS Std;serif" w:hAnsi="Times New Roman PS Std;serif"/>
          <w:b w:val="false"/>
          <w:i w:val="false"/>
          <w:caps w:val="false"/>
          <w:smallCaps w:val="false"/>
          <w:sz w:val="20"/>
        </w:rPr>
        <w:t>”), which, among other things and subject to the terms and conditions contained therein, provided for (a) the merger of Bleichroeder with and into Merger Sub (the “</w:t>
      </w:r>
      <w:r>
        <w:rPr>
          <w:rFonts w:ascii="Times New Roman PS Std;serif" w:hAnsi="Times New Roman PS Std;serif"/>
          <w:b/>
          <w:i w:val="false"/>
          <w:caps w:val="false"/>
          <w:smallCaps w:val="false"/>
          <w:sz w:val="20"/>
        </w:rPr>
        <w:t>Reincorporation Merger</w:t>
      </w:r>
      <w:r>
        <w:rPr>
          <w:rFonts w:ascii="Times New Roman PS Std;serif" w:hAnsi="Times New Roman PS Std;serif"/>
          <w:b w:val="false"/>
          <w:i w:val="false"/>
          <w:caps w:val="false"/>
          <w:smallCaps w:val="false"/>
          <w:sz w:val="20"/>
        </w:rPr>
        <w:t>”), with Merger Sub continuing as the surviving company (the “</w:t>
      </w:r>
      <w:r>
        <w:rPr>
          <w:rFonts w:ascii="Times New Roman PS Std;serif" w:hAnsi="Times New Roman PS Std;serif"/>
          <w:b/>
          <w:i w:val="false"/>
          <w:caps w:val="false"/>
          <w:smallCaps w:val="false"/>
          <w:sz w:val="20"/>
        </w:rPr>
        <w:t>Bleichroeder Surviving Corporation</w:t>
      </w:r>
      <w:r>
        <w:rPr>
          <w:rFonts w:ascii="Times New Roman PS Std;serif" w:hAnsi="Times New Roman PS Std;serif"/>
          <w:b w:val="false"/>
          <w:i w:val="false"/>
          <w:caps w:val="false"/>
          <w:smallCaps w:val="false"/>
          <w:sz w:val="20"/>
        </w:rPr>
        <w:t>”), and (b) the merger of Legacy Pasqal with and into Bleichroeder Surviving Corporation by way of a merger by absorption (fusion-absorption) in accordance with Articles L. 236-1 et seq. of the French Commercial Code, with the Bleichroeder Surviving Corporation continuing as the surviving company and changing its name to Pasqal Holding SA (the “</w:t>
      </w:r>
      <w:r>
        <w:rPr>
          <w:rFonts w:ascii="Times New Roman PS Std;serif" w:hAnsi="Times New Roman PS Std;serif"/>
          <w:b/>
          <w:i w:val="false"/>
          <w:caps w:val="false"/>
          <w:smallCaps w:val="false"/>
          <w:sz w:val="20"/>
        </w:rPr>
        <w:t>Merger</w:t>
      </w:r>
      <w:r>
        <w:rPr>
          <w:rFonts w:ascii="Times New Roman PS Std;serif" w:hAnsi="Times New Roman PS Std;serif"/>
          <w:b w:val="false"/>
          <w:i w:val="false"/>
          <w:caps w:val="false"/>
          <w:smallCaps w:val="false"/>
          <w:sz w:val="20"/>
        </w:rPr>
        <w:t>”, and together with the Reincorporation Merger and the other transactions contemplated by the Business Combination Agreement and the related agreements, the “</w:t>
      </w:r>
      <w:r>
        <w:rPr>
          <w:rFonts w:ascii="Times New Roman PS Std;serif" w:hAnsi="Times New Roman PS Std;serif"/>
          <w:b/>
          <w:i w:val="false"/>
          <w:caps w:val="false"/>
          <w:smallCaps w:val="false"/>
          <w:sz w:val="20"/>
        </w:rPr>
        <w:t>Business Combination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2026, Bleichroeder held an extraordinary general meeting of shareholders of Bleichroeder where the shareholders of Bleichroeder considered and approved a number of matters, including the consummation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27, 2026 (the “</w:t>
      </w:r>
      <w:r>
        <w:rPr>
          <w:rFonts w:ascii="Times New Roman PS Std;serif" w:hAnsi="Times New Roman PS Std;serif"/>
          <w:b/>
          <w:i w:val="false"/>
          <w:caps w:val="false"/>
          <w:smallCaps w:val="false"/>
          <w:sz w:val="20"/>
        </w:rPr>
        <w:t>Closing Date</w:t>
      </w:r>
      <w:r>
        <w:rPr>
          <w:rFonts w:ascii="Times New Roman PS Std;serif" w:hAnsi="Times New Roman PS Std;serif"/>
          <w:b w:val="false"/>
          <w:i w:val="false"/>
          <w:caps w:val="false"/>
          <w:smallCaps w:val="false"/>
          <w:sz w:val="20"/>
        </w:rPr>
        <w:t>”), we consummated the transactions contemplated by the Business Combination Agreement and effected the Business Combination. On the Closing Date, at the effective time of the Reincorporation Merger, (i) each then issued and outstanding Bleichroeder Class A Ordinary Share (excluding Treasury Shares and Redeeming Shares) and each then issued and outstanding Bleichroeder Class B Ordinary Share was cancelled and automatically converted into one Ordinary Share, and (ii) each then issued and outstanding whole warrant to purchase Bleichroeder Class A Ordinary Shares was converted into one warrant to purchase one Ordinary Share on the same terms and conditions existing prior to such conversion. At the effective time of the Merger, Legacy Pasqal was dissolved without liquidation (dissolution sans liquidation), together with the completion of a universal transfer of assets and liabilities (transmission universelle de patrimoine) pursuant to which New Pasqal succeeded to all of the rights and obligations of Legacy Pasqal, and, among other things: (a) each then issued and outstanding “Class Seed” ordinary share, common ordinary share, “Class A” ordinary share, “Class B” ordinary share and “Class C” ordinary share of Legacy Pasqal, in each case with a par value of €0.10 per share, was exchanged for Ordinary Shares using an exchange ratio of approximately 22.736 (the “</w:t>
      </w:r>
      <w:r>
        <w:rPr>
          <w:rFonts w:ascii="Times New Roman PS Std;serif" w:hAnsi="Times New Roman PS Std;serif"/>
          <w:b/>
          <w:i w:val="false"/>
          <w:caps w:val="false"/>
          <w:smallCaps w:val="false"/>
          <w:sz w:val="20"/>
        </w:rPr>
        <w:t>Exchange Ratio</w:t>
      </w:r>
      <w:r>
        <w:rPr>
          <w:rFonts w:ascii="Times New Roman PS Std;serif" w:hAnsi="Times New Roman PS Std;serif"/>
          <w:b w:val="false"/>
          <w:i w:val="false"/>
          <w:caps w:val="false"/>
          <w:smallCaps w:val="false"/>
          <w:sz w:val="20"/>
        </w:rPr>
        <w:t>”), resulting in the issuance of 199,999,960 Ordinary Shares to the former shareholders of Legacy Pasqal; and (b) each then issued and outstanding equity warrant governed by French law (bons de souscription de parts de créateur d’entreprise) of Legacy Pasqal (the “</w:t>
      </w:r>
      <w:r>
        <w:rPr>
          <w:rFonts w:ascii="Times New Roman PS Std;serif" w:hAnsi="Times New Roman PS Std;serif"/>
          <w:b/>
          <w:i w:val="false"/>
          <w:caps w:val="false"/>
          <w:smallCaps w:val="false"/>
          <w:sz w:val="20"/>
        </w:rPr>
        <w:t>Rollover BSPCEs</w:t>
      </w:r>
      <w:r>
        <w:rPr>
          <w:rFonts w:ascii="Times New Roman PS Std;serif" w:hAnsi="Times New Roman PS Std;serif"/>
          <w:b w:val="false"/>
          <w:i w:val="false"/>
          <w:caps w:val="false"/>
          <w:smallCaps w:val="false"/>
          <w:sz w:val="20"/>
        </w:rPr>
        <w:t>”) was assumed by the Company and grants the right to subscribe for Ordinary Shares, with the number of shares adjusted to reflect the Exchange Ratio, on the same terms and conditions (including vesting, exercise period and expiration date) as were applicable immediately prior to the effective time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concurrently with the Closing, we consummated the March 2026 Financing, pursuant to which we issued $312,500,000 aggregate principal amount of Senior Unsecured Convertible Bonds, initially convertible into 26,041,667 Ordinary Shares at an initial conversion price of $12.00 per Ordinary Share, together with 32,552,083 Investment Warrants exercisable at $12.00 per Ordinary Share, for an aggregate subscription price of $250.0 million, reflecting a 20% original issue discount in a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or required by context, references in this prospectus to “</w:t>
      </w:r>
      <w:r>
        <w:rPr>
          <w:rFonts w:ascii="Times New Roman PS Std;serif" w:hAnsi="Times New Roman PS Std;serif"/>
          <w:b/>
          <w:i w:val="false"/>
          <w:caps w:val="false"/>
          <w:smallCaps w:val="false"/>
          <w:sz w:val="20"/>
        </w:rPr>
        <w:t>Pasqal</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the Company</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us</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our</w:t>
      </w:r>
      <w:r>
        <w:rPr>
          <w:rFonts w:ascii="Times New Roman PS Std;serif" w:hAnsi="Times New Roman PS Std;serif"/>
          <w:b w:val="false"/>
          <w:i w:val="false"/>
          <w:caps w:val="false"/>
          <w:smallCaps w:val="false"/>
          <w:sz w:val="20"/>
        </w:rPr>
        <w:t>” refer to Pasqal Holding SA, a French société anonyme, together with its consolidated subsidiaries, following the consummation of the Business Combination.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PRESENTATION OF FINANCIAL INFORMATION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Pasqal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audited consolidated financial statements of Pasqal SAS as of and for the years ended December 31, 2025 and 2024, and the related notes thereto, were prepared in accordance with the International Financial Reporting Standards (“</w:t>
      </w:r>
      <w:r>
        <w:rPr>
          <w:rFonts w:ascii="Times New Roman PS Std;serif" w:hAnsi="Times New Roman PS Std;serif"/>
          <w:b/>
          <w:i w:val="false"/>
          <w:caps w:val="false"/>
          <w:smallCaps w:val="false"/>
          <w:sz w:val="20"/>
        </w:rPr>
        <w:t>IFRS</w:t>
      </w:r>
      <w:r>
        <w:rPr>
          <w:rFonts w:ascii="Times New Roman PS Std;serif" w:hAnsi="Times New Roman PS Std;serif"/>
          <w:b w:val="false"/>
          <w:i w:val="false"/>
          <w:caps w:val="false"/>
          <w:smallCaps w:val="false"/>
          <w:sz w:val="20"/>
        </w:rPr>
        <w:t>”) as issued by the International Accounting Standards Board (“</w:t>
      </w:r>
      <w:r>
        <w:rPr>
          <w:rFonts w:ascii="Times New Roman PS Std;serif" w:hAnsi="Times New Roman PS Std;serif"/>
          <w:b/>
          <w:i w:val="false"/>
          <w:caps w:val="false"/>
          <w:smallCaps w:val="false"/>
          <w:sz w:val="20"/>
        </w:rPr>
        <w:t>IASB</w:t>
      </w:r>
      <w:r>
        <w:rPr>
          <w:rFonts w:ascii="Times New Roman PS Std;serif" w:hAnsi="Times New Roman PS Std;serif"/>
          <w:b w:val="false"/>
          <w:i w:val="false"/>
          <w:caps w:val="false"/>
          <w:smallCaps w:val="false"/>
          <w:sz w:val="20"/>
        </w:rPr>
        <w:t>”) and are included elsewhere in this prospectus.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Legacy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Pasqal SAS effected an internal reorganization (the “</w:t>
      </w:r>
      <w:r>
        <w:rPr>
          <w:rFonts w:ascii="Times New Roman PS Std;serif" w:hAnsi="Times New Roman PS Std;serif"/>
          <w:b/>
          <w:i w:val="false"/>
          <w:caps w:val="false"/>
          <w:smallCaps w:val="false"/>
          <w:sz w:val="20"/>
        </w:rPr>
        <w:t>Pasqal Reorganization</w:t>
      </w:r>
      <w:r>
        <w:rPr>
          <w:rFonts w:ascii="Times New Roman PS Std;serif" w:hAnsi="Times New Roman PS Std;serif"/>
          <w:b w:val="false"/>
          <w:i w:val="false"/>
          <w:caps w:val="false"/>
          <w:smallCaps w:val="false"/>
          <w:sz w:val="20"/>
        </w:rPr>
        <w:t>”), pursuant to which Pasqal SAS became a wholly owned subsidiary of Legacy Pasqal and the existing shareholders of Pasqal SAS became shareholders of Legacy Pasqal. Prior to the consummation of the Mergers, Legacy Pasqal had no material assets or operating activities outside of those of Pasqal SAS.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condensed consolidated financial statements of Legacy Pasqal at June 30, 2026 and December 31, 2025 and for the six months ended June 30, 2026 and 2025 were prepared in accordance with IFRS as issued by the IASB and are included elsewhere in this prospectus.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Bleichroeder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audited consolidated financial statements of Bleichroeder are presented in conformity with accounting principles generally accepted in the United States of America (“</w:t>
      </w:r>
      <w:r>
        <w:rPr>
          <w:rFonts w:ascii="Times New Roman PS Std;serif" w:hAnsi="Times New Roman PS Std;serif"/>
          <w:b/>
          <w:i w:val="false"/>
          <w:caps w:val="false"/>
          <w:smallCaps w:val="false"/>
          <w:sz w:val="20"/>
        </w:rPr>
        <w:t>U.S. GAAP</w:t>
      </w:r>
      <w:r>
        <w:rPr>
          <w:rFonts w:ascii="Times New Roman PS Std;serif" w:hAnsi="Times New Roman PS Std;serif"/>
          <w:b w:val="false"/>
          <w:i w:val="false"/>
          <w:caps w:val="false"/>
          <w:smallCaps w:val="false"/>
          <w:sz w:val="20"/>
        </w:rPr>
        <w:t>”) and pursuant to the rules and regulations of the SEC.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EXCHANGE RATE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amounts described herein have been expressed in U.S. dollars for convenience and, when expressed in U.S. dollars in the future, such amounts may be different from those set forth herein due to intervening exchange rate fluctuations.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CONVENTIONS WHICH APPLY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prospectus, unless otherwise specified or the context otherwise requires, “</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US$</w:t>
      </w:r>
      <w:r>
        <w:rPr>
          <w:rFonts w:ascii="Times New Roman PS Std;serif" w:hAnsi="Times New Roman PS Std;serif"/>
          <w:b w:val="false"/>
          <w:i w:val="false"/>
          <w:caps w:val="false"/>
          <w:smallCaps w:val="false"/>
          <w:sz w:val="20"/>
        </w:rPr>
        <w:t>” and “</w:t>
      </w:r>
      <w:r>
        <w:rPr>
          <w:rFonts w:ascii="Times New Roman PS Std;serif" w:hAnsi="Times New Roman PS Std;serif"/>
          <w:b/>
          <w:i w:val="false"/>
          <w:caps w:val="false"/>
          <w:smallCaps w:val="false"/>
          <w:sz w:val="20"/>
        </w:rPr>
        <w:t>U.S. dollar</w:t>
      </w:r>
      <w:r>
        <w:rPr>
          <w:rFonts w:ascii="Times New Roman PS Std;serif" w:hAnsi="Times New Roman PS Std;serif"/>
          <w:b w:val="false"/>
          <w:i w:val="false"/>
          <w:caps w:val="false"/>
          <w:smallCaps w:val="false"/>
          <w:sz w:val="20"/>
        </w:rPr>
        <w:t>” each refer to the United States dollar, and “euro” or “€” refers to the currency established for participating member states of the European Union (“</w:t>
      </w:r>
      <w:r>
        <w:rPr>
          <w:rFonts w:ascii="Times New Roman PS Std;serif" w:hAnsi="Times New Roman PS Std;serif"/>
          <w:b/>
          <w:i w:val="false"/>
          <w:caps w:val="false"/>
          <w:smallCaps w:val="false"/>
          <w:sz w:val="20"/>
        </w:rPr>
        <w:t>E.U.</w:t>
      </w:r>
      <w:r>
        <w:rPr>
          <w:rFonts w:ascii="Times New Roman PS Std;serif" w:hAnsi="Times New Roman PS Std;serif"/>
          <w:b w:val="false"/>
          <w:i w:val="false"/>
          <w:caps w:val="false"/>
          <w:smallCaps w:val="false"/>
          <w:sz w:val="20"/>
        </w:rPr>
        <w:t>”) as of the beginning of stage three of the European Monetary Union on January 1, 1999.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INDUSTRY AND MARKET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prospectus, we present industry data, information and statistics regarding the markets in which we compete, as well as publicly available statistics, data and other information provided by third parties relating to markets, market sizes, market shares, market positions and other industry data pertaining to our business and markets. Such information is supplemented where necessary with our own internal estimates, taking into account publicly available information about other industry participants and the judgment of our management where information is not publicly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Industry publications, research,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the sections titled “Cautionary Note Regarding Forward-Looking Statements” and “Risk Factors.” These and other factors could cause results to differ materially from those expressed in any forecasts or estimates.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TRADEMARKS, SERVICE MARKS AND TRADE NAMES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own or have rights to trademarks, trade names and service marks that we use in connection with the operation of our business. In addition, our names, logos and website names and addresses are our trademarks or service marks. Other trademarks, trade names and service marks appearing in this prospectus are the property of their respective owners. Solely for convenience, in some cases, the trademarks, trade names and service marks referred to in this prospectus are listed without the applicable ®, ™ and ℠ symbols, but such references are not intended to indicate, in any way, that we or the owners thereof will not assert, to the fullest extent under applicable law, our or their rights to these trademarks, trade names and service marks.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102"/>
      <w:bookmarkEnd w:id="2"/>
      <w:r>
        <w:rPr>
          <w:rFonts w:ascii="Times New Roman PS Std;serif" w:hAnsi="Times New Roman PS Std;serif"/>
          <w:b/>
          <w:i w:val="false"/>
          <w:caps w:val="false"/>
          <w:smallCaps w:val="false"/>
          <w:sz w:val="20"/>
        </w:rPr>
        <w:t xml:space="preserve">CAUTIONARY NOTE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statements contained in this prospectus may constitute “forward-looking statements” for purposes of U.S. federal securities laws (collectively, “</w:t>
      </w:r>
      <w:r>
        <w:rPr>
          <w:rFonts w:ascii="Times New Roman PS Std;serif" w:hAnsi="Times New Roman PS Std;serif"/>
          <w:b/>
          <w:i w:val="false"/>
          <w:caps w:val="false"/>
          <w:smallCaps w:val="false"/>
          <w:sz w:val="20"/>
        </w:rPr>
        <w:t>forward-looking statements</w:t>
      </w:r>
      <w:r>
        <w:rPr>
          <w:rFonts w:ascii="Times New Roman PS Std;serif" w:hAnsi="Times New Roman PS Std;serif"/>
          <w:b w:val="false"/>
          <w:i w:val="false"/>
          <w:caps w:val="false"/>
          <w:smallCaps w:val="false"/>
          <w:sz w:val="20"/>
        </w:rPr>
        <w:t>”).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contained in this prospectus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prospectus contains forward-looking statements pertaining to our strategy, future operations, financial position, projected costs, prospects and plans. 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uncertainty;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limited operating history, concentrated customer base and early-stage commercial model, which make it difficult to forecast our future results of operations and funding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quantum computing may never become commercially viable or widely adopted, and that our technology roadmap and the anticipated milestones and timing thereof may 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need for a significant amount of additional capital to pursue our business objectives, risks relating to our outstanding indebtedness and the risk that additional financing may not be available on acceptable terms or at all, which could require us to delay, limit or substantially reduce our development efforts;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our technical roadmap and plans for commercialization involve technology that is still under development and may not become available on the expected timeline or achieve the intended performance level;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scale and adapt our business and existing technology, including our manufacturing capacity, in a timely or cost-effective manner to meet customer and market demand;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competition on our future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the quantum computing industry on a global scale, including the risk that competitors achieve technological breakthroughs that render our systems obsolete or inferior, and competitive pressures on our pricing;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relationships with third-party providers, including cloud providers and suppliers of specialized components such as laser systems, and the risk that any disruption of or interference with our use of such providers would adversely affect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reliance on future collaborative partners and our ability to establish and maintain suitable strategic partnerships;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our ability to attract and retain senior executive leadership and other key employees, including quantum physicists, software engineers and other key technical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penetrate multiple markets, and the additional regulatory burdens and political, social and geographical risks associated with our international operations and investment commitments in France, the United States, Canada, Saudi Arabia, South Korea and the United Kingdom;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or delays in changes of control or significant investments in us due to French State influence and French foreign investment regulations, and limitations on shareholder liquidity and transferability of our securities arising therefrom;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or limitations in our strategic decision-making due to our governance structure and restrictions under French law, including the strategic committee established at the level of Pasqal SAS and the business allocation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and maintain patent protection for our technology and the risk that the scope of patent protection obtained is not sufficiently broad or robust, including risks arising from license and co-ownership arrangements originating in academic research and from our use of open-source software;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cybersecurity, physical hardware and human-related security risks that could result in significant operational disruption, financial loss, legal liability or reputational harm;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contracts with French and other governmental entities and the European Commission, which are subject to public procurement processes, budgetary constraints and changes in government priorities, and the risk that government grants may be reduced, cancelled or required to be repaid and new grants may not be available on terms acceptable to us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arising from litigation, investigations and regulatory proceedings, including product liability claims and environmental and safety regulation;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status as a foreign private issuer, which exempts us from certain provisions applicable to United States domestic public companies and the additional costs we would incur if that status were lost, and the difficulties investors may face in protecting their interests because we are organized under the laws of France, including limitations on the ability to enforce rights through the U.S. federal courts;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litigation, governmental or regulatory proceedings, investigations or inquiries involving us, including in relation to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international, national or local economic, social, political or legal conditions that could adversely affect us and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effectiveness of our internal controls and our corporate policies and procedures;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and changes in governmental regulations or the enforcement thereof, tax laws and rates, including French tax legislation, limitations on the deductibility of interest and on the use of our tax loss carry-forwards, accounting guidance and similar matters in regions in which we operate or will operate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volatility of the market price and liquidity of the Ordinary Shares and the Public Warrants and our ability to maintain the listing of our Ordinary Shares and Warrants on Nasdaq and operate as a public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any unforeseen liabilities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and oversight arising from our governance arrangements with Bpifrance and under French law, including the strategic committee of Pasqal SAS and the business allocation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obtain lender consent, industry partner and other third party consents and approvals, when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our strategy, future operations, financial position, estimated revenues and losses, projected costs, prospects and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with respect to market opportunity and market growth;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benefits of and ability to maintain and enter into new contracts, awards and other relationships, partnerships or collaborations with other businesses, governments and government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for our quantum computing technology to achieve quantum advantage;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expectations regarding the time during which we will be an emerging growth company under the Jumpstart Our Business Startups Act of 2012 (the “</w:t>
      </w:r>
      <w:r>
        <w:rPr>
          <w:rFonts w:ascii="Times New Roman PS Std;serif" w:hAnsi="Times New Roman PS Std;serif"/>
          <w:b/>
          <w:i w:val="false"/>
          <w:caps w:val="false"/>
          <w:smallCaps w:val="false"/>
          <w:sz w:val="20"/>
        </w:rPr>
        <w:t>JOBS Act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expansion plans and opportunities, including risks related to the rollout of the Company’s business and expansion strategy;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need to obtain required approvals from regulatory authorities, including under French foreign investment control and applicable export control regimes.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contained herein may prove incorrect. These forward-looking statements speak only as of the date of this prospectus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entitled “Risk Factors” and our filings with the U.S. Securities and Exchange Commission (www.sec.gov). There may be additional risks that we do not presently know or that we currently believe are immaterial, that could also cause actual results to differ from those contained in the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forward-looking statements are based on a number of estimates and assumptions that we believe are reasonable when made including, but not limited to, the perceived benefits of the Business Combination; the effects of the Business Combination on Legacy Pasqal; assumptions that none of the risks identified in this prospectus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103"/>
      <w:bookmarkEnd w:id="3"/>
      <w:r>
        <w:rPr>
          <w:rFonts w:ascii="Times New Roman PS Std;serif" w:hAnsi="Times New Roman PS Std;serif"/>
          <w:b/>
          <w:i w:val="false"/>
          <w:caps w:val="false"/>
          <w:smallCaps w:val="false"/>
          <w:sz w:val="20"/>
        </w:rPr>
        <w:t xml:space="preserve">FREQUENTLY USED TERMS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stated or unless the context otherwise requires: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Legacy Pasqal</w:t>
      </w:r>
      <w:r>
        <w:rPr>
          <w:rFonts w:ascii="Times New Roman PS Std;serif" w:hAnsi="Times New Roman PS Std;serif"/>
          <w:b w:val="false"/>
          <w:i w:val="false"/>
          <w:caps w:val="false"/>
          <w:smallCaps w:val="false"/>
          <w:sz w:val="20"/>
        </w:rPr>
        <w:t xml:space="preserve">” means Pasqal Holding SAS, a French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and its consolidated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means Bleichroeder Acquisition Corp. II, a Cayman Islands exempted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Merger Sub</w:t>
      </w:r>
      <w:r>
        <w:rPr>
          <w:rFonts w:ascii="Times New Roman PS Std;serif" w:hAnsi="Times New Roman PS Std;serif"/>
          <w:b w:val="false"/>
          <w:i w:val="false"/>
          <w:caps w:val="false"/>
          <w:smallCaps w:val="false"/>
          <w:sz w:val="20"/>
        </w:rPr>
        <w:t xml:space="preserve">” means Bleichroeder Acquisition France Merger Sub 2,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of which Bleichroeder owned substantially all of the outstanding share capital prior to the consummation of the Reincorporation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Bleichroeder Surviving Corporation</w:t>
      </w:r>
      <w:r>
        <w:rPr>
          <w:rFonts w:ascii="Times New Roman PS Std;serif" w:hAnsi="Times New Roman PS Std;serif"/>
          <w:b w:val="false"/>
          <w:i w:val="false"/>
          <w:caps w:val="false"/>
          <w:smallCaps w:val="false"/>
          <w:sz w:val="20"/>
        </w:rPr>
        <w:t>” means Merger Sub as the surviving company following the consummation of the Reincorporation Merger and prior to the consummation of the Merger;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New Pasqal</w:t>
      </w:r>
      <w:r>
        <w:rPr>
          <w:rFonts w:ascii="Times New Roman PS Std;serif" w:hAnsi="Times New Roman PS Std;serif"/>
          <w:b w:val="false"/>
          <w:i w:val="false"/>
          <w:caps w:val="false"/>
          <w:smallCaps w:val="false"/>
          <w:sz w:val="20"/>
        </w:rPr>
        <w:t xml:space="preserve">” means Bleichroeder Surviving Corporation or Pasqal Holding SA, a French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and its consolidated subsidiaries, following the merger of Legacy Pasqal with Bleichroeder Surviving Corporation.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A&amp;R Registration Rights Agreement</w:t>
      </w:r>
      <w:r>
        <w:rPr>
          <w:rFonts w:ascii="Times New Roman PS Std;serif" w:hAnsi="Times New Roman PS Std;serif"/>
          <w:b w:val="false"/>
          <w:i w:val="false"/>
          <w:caps w:val="false"/>
          <w:smallCaps w:val="false"/>
          <w:sz w:val="20"/>
        </w:rPr>
        <w:t>” means that certain Amended and Restated Registration Rights Agreement entered into on the Closing Date by and among the Company, the Sponsor, certain former shareholders of Legacy Pasqal, the Investors and the other parties thereto, pursuant to which that certain Registration Rights Agreement, dated as of January 7, 2026, was amended and restated in its entirety, as of the Closing, as such agreement may be amended, restated or otherwise modified from time to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means Bleichroeder Acquisition Corp. II, a Cayman Islands exempted company that was the SPAC party to the Business Combination Agreement.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Bleichroeder IPO</w:t>
      </w:r>
      <w:r>
        <w:rPr>
          <w:rFonts w:ascii="Times New Roman PS Std;serif" w:hAnsi="Times New Roman PS Std;serif"/>
          <w:b w:val="false"/>
          <w:i w:val="false"/>
          <w:caps w:val="false"/>
          <w:smallCaps w:val="false"/>
          <w:sz w:val="20"/>
        </w:rPr>
        <w:t>” means the initial public offering of 28,750,000 Bleichroeder units, including 3,750,000 units pursuant to the underwriters’ full exercise of the over-allotment option, which closed on January 9, 2026.</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Bpifrance</w:t>
      </w:r>
      <w:r>
        <w:rPr>
          <w:rFonts w:ascii="Times New Roman PS Std;serif" w:hAnsi="Times New Roman PS Std;serif"/>
          <w:b w:val="false"/>
          <w:i w:val="false"/>
          <w:caps w:val="false"/>
          <w:smallCaps w:val="false"/>
          <w:sz w:val="20"/>
        </w:rPr>
        <w:t>” means Bpifrance Investissement S.A.S., a French société par actions simplifiée, having its registered office at 27-31, avenue du Général Leclerc, 94710 Maisons-Alfort Cedex, France.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Business Combination</w:t>
      </w:r>
      <w:r>
        <w:rPr>
          <w:rFonts w:ascii="Times New Roman PS Std;serif" w:hAnsi="Times New Roman PS Std;serif"/>
          <w:b w:val="false"/>
          <w:i w:val="false"/>
          <w:caps w:val="false"/>
          <w:smallCaps w:val="false"/>
          <w:sz w:val="20"/>
        </w:rPr>
        <w:t>” means the transactions contemplated by the Business Combination Agreement, including the Reincorporation Merger and the Merger.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Business Combination Agreement</w:t>
      </w:r>
      <w:r>
        <w:rPr>
          <w:rFonts w:ascii="Times New Roman PS Std;serif" w:hAnsi="Times New Roman PS Std;serif"/>
          <w:b w:val="false"/>
          <w:i w:val="false"/>
          <w:caps w:val="false"/>
          <w:smallCaps w:val="false"/>
          <w:sz w:val="20"/>
        </w:rPr>
        <w:t>” means Agreement and Plan of Merger, entered into on February 28, 2026, by and among Bleichroeder, Merger Sub and Legacy Pasqal, as amended by that certain Amendment No. 1 to the Agreement and Plan of Merger and Assignment and Assumption Agreement entered into on May 26, 2026, as further amended by that certain Amendment No. 2 to the Agreement and Plan of Merger entered into on June 25, 2026, as further amended by that certain Amendment No. 3 to the Agreement and Plan of Merger entered into on July 22, 2026, and as may be further amended, supplemented or otherwise modified from time to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Clear Street</w:t>
      </w:r>
      <w:r>
        <w:rPr>
          <w:rFonts w:ascii="Times New Roman PS Std;serif" w:hAnsi="Times New Roman PS Std;serif"/>
          <w:b w:val="false"/>
          <w:i w:val="false"/>
          <w:caps w:val="false"/>
          <w:smallCaps w:val="false"/>
          <w:sz w:val="20"/>
        </w:rPr>
        <w:t>” means Clear Street LLC.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Closing</w:t>
      </w:r>
      <w:r>
        <w:rPr>
          <w:rFonts w:ascii="Times New Roman PS Std;serif" w:hAnsi="Times New Roman PS Std;serif"/>
          <w:b w:val="false"/>
          <w:i w:val="false"/>
          <w:caps w:val="false"/>
          <w:smallCaps w:val="false"/>
          <w:sz w:val="20"/>
        </w:rPr>
        <w:t>” means the closing of the Business Combination and the March 2026 Financing.</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Closing Date</w:t>
      </w:r>
      <w:r>
        <w:rPr>
          <w:rFonts w:ascii="Times New Roman PS Std;serif" w:hAnsi="Times New Roman PS Std;serif"/>
          <w:b w:val="false"/>
          <w:i w:val="false"/>
          <w:caps w:val="false"/>
          <w:smallCaps w:val="false"/>
          <w:sz w:val="20"/>
        </w:rPr>
        <w:t>” means August 27, 2026, the date on which the Closing occurred.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Code</w:t>
      </w:r>
      <w:r>
        <w:rPr>
          <w:rFonts w:ascii="Times New Roman PS Std;serif" w:hAnsi="Times New Roman PS Std;serif"/>
          <w:b w:val="false"/>
          <w:i w:val="false"/>
          <w:caps w:val="false"/>
          <w:smallCaps w:val="false"/>
          <w:sz w:val="20"/>
        </w:rPr>
        <w:t>” means the U.S. Internal Revenue Code of 1986,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Cohen</w:t>
      </w:r>
      <w:r>
        <w:rPr>
          <w:rFonts w:ascii="Times New Roman PS Std;serif" w:hAnsi="Times New Roman PS Std;serif"/>
          <w:b w:val="false"/>
          <w:i w:val="false"/>
          <w:caps w:val="false"/>
          <w:smallCaps w:val="false"/>
          <w:sz w:val="20"/>
        </w:rPr>
        <w:t>” means Cohen &amp; Company Capital Markets, a division of Cohen &amp; Company Securities, LLC.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coherence</w:t>
      </w:r>
      <w:r>
        <w:rPr>
          <w:rFonts w:ascii="Times New Roman PS Std;serif" w:hAnsi="Times New Roman PS Std;serif"/>
          <w:b w:val="false"/>
          <w:i w:val="false"/>
          <w:caps w:val="false"/>
          <w:smallCaps w:val="false"/>
          <w:sz w:val="20"/>
        </w:rPr>
        <w:t>” means the ability of a quantum system to maintain a well-defined phase relationship between different states in a superposition (when qubits are in multiple states at the same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Cayman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Companies Act</w:t>
      </w:r>
      <w:r>
        <w:rPr>
          <w:rFonts w:ascii="Times New Roman PS Std;serif" w:hAnsi="Times New Roman PS Std;serif"/>
          <w:b w:val="false"/>
          <w:i w:val="false"/>
          <w:caps w:val="false"/>
          <w:smallCaps w:val="false"/>
          <w:sz w:val="20"/>
        </w:rPr>
        <w:t>” means the Companies Act (Revised) of the Cayman Islands as the same may be amended from time to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Continental</w:t>
      </w:r>
      <w:r>
        <w:rPr>
          <w:rFonts w:ascii="Times New Roman PS Std;serif" w:hAnsi="Times New Roman PS Std;serif"/>
          <w:b w:val="false"/>
          <w:i w:val="false"/>
          <w:caps w:val="false"/>
          <w:smallCaps w:val="false"/>
          <w:sz w:val="20"/>
        </w:rPr>
        <w:t>” means Continental Stock Transfer &amp; Trust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Convertible Bonds</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Senior Unsecured Convertible Bonds</w:t>
      </w:r>
      <w:r>
        <w:rPr>
          <w:rFonts w:ascii="Times New Roman PS Std;serif" w:hAnsi="Times New Roman PS Std;serif"/>
          <w:b w:val="false"/>
          <w:i w:val="false"/>
          <w:caps w:val="false"/>
          <w:smallCaps w:val="false"/>
          <w:sz w:val="20"/>
        </w:rPr>
        <w:t>” means the senior unsecured convertible bonds convertible into Ordinary Shares (obligations convertibles en actions ordinaires) issued on the Closing Date pursuant to the March 2026 SPA.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DTC</w:t>
      </w:r>
      <w:r>
        <w:rPr>
          <w:rFonts w:ascii="Times New Roman PS Std;serif" w:hAnsi="Times New Roman PS Std;serif"/>
          <w:b w:val="false"/>
          <w:i w:val="false"/>
          <w:caps w:val="false"/>
          <w:smallCaps w:val="false"/>
          <w:sz w:val="20"/>
        </w:rPr>
        <w:t>” means the Depository Trust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entanglement</w:t>
      </w:r>
      <w:r>
        <w:rPr>
          <w:rFonts w:ascii="Times New Roman PS Std;serif" w:hAnsi="Times New Roman PS Std;serif"/>
          <w:b w:val="false"/>
          <w:i w:val="false"/>
          <w:caps w:val="false"/>
          <w:smallCaps w:val="false"/>
          <w:sz w:val="20"/>
        </w:rPr>
        <w:t>” means a fundamental phenomenon where two or more quantum bits (qubits) become interconnected and instantly correlated with the state of each other, regardless of the distance between them. This unique linkage enables quantum systems to represent and manipulate complex correlations in data.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Exchange Act</w:t>
      </w:r>
      <w:r>
        <w:rPr>
          <w:rFonts w:ascii="Times New Roman PS Std;serif" w:hAnsi="Times New Roman PS Std;serif"/>
          <w:b w:val="false"/>
          <w:i w:val="false"/>
          <w:caps w:val="false"/>
          <w:smallCaps w:val="false"/>
          <w:sz w:val="20"/>
        </w:rPr>
        <w:t>” means the Securities Exchange Act of 1934,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Exchange Ratio</w:t>
      </w:r>
      <w:r>
        <w:rPr>
          <w:rFonts w:ascii="Times New Roman PS Std;serif" w:hAnsi="Times New Roman PS Std;serif"/>
          <w:b w:val="false"/>
          <w:i w:val="false"/>
          <w:caps w:val="false"/>
          <w:smallCaps w:val="false"/>
          <w:sz w:val="20"/>
        </w:rPr>
        <w:t>” means the exchange ratio of approximately 22.736 calculated in accordance with the French Merger Agreement.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fault-tolerant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quantum computing</w:t>
      </w:r>
      <w:r>
        <w:rPr>
          <w:rFonts w:ascii="Times New Roman PS Std;serif" w:hAnsi="Times New Roman PS Std;serif"/>
          <w:b w:val="false"/>
          <w:i w:val="false"/>
          <w:caps w:val="false"/>
          <w:smallCaps w:val="false"/>
          <w:sz w:val="20"/>
        </w:rPr>
        <w:t>” means quantum computing that operates reliably even in the presence of errors, provided the error rate is below a certain threshold.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fidelity</w:t>
      </w:r>
      <w:r>
        <w:rPr>
          <w:rFonts w:ascii="Times New Roman PS Std;serif" w:hAnsi="Times New Roman PS Std;serif"/>
          <w:b w:val="false"/>
          <w:i w:val="false"/>
          <w:caps w:val="false"/>
          <w:smallCaps w:val="false"/>
          <w:sz w:val="20"/>
        </w:rPr>
        <w:t>” means the likelihood that a gate operation between two qubits is performed correctly without introducing errors.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Founder Shares</w:t>
      </w:r>
      <w:r>
        <w:rPr>
          <w:rFonts w:ascii="Times New Roman PS Std;serif" w:hAnsi="Times New Roman PS Std;serif"/>
          <w:b w:val="false"/>
          <w:i w:val="false"/>
          <w:caps w:val="false"/>
          <w:smallCaps w:val="false"/>
          <w:sz w:val="20"/>
        </w:rPr>
        <w:t>” means the 9,583,333 Ordinary Shares held by certain securityholders as distributed by the Sponsor, originally issued as Bleichroeder Class B ordinary shares, which converted into Ordinary Shares in connection with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French Commercial Code</w:t>
      </w:r>
      <w:r>
        <w:rPr>
          <w:rFonts w:ascii="Times New Roman PS Std;serif" w:hAnsi="Times New Roman PS Std;serif"/>
          <w:b w:val="false"/>
          <w:i w:val="false"/>
          <w:caps w:val="false"/>
          <w:smallCaps w:val="false"/>
          <w:sz w:val="20"/>
        </w:rPr>
        <w:t>” means the French Code de commerce.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French Merger Agreement</w:t>
      </w:r>
      <w:r>
        <w:rPr>
          <w:rFonts w:ascii="Times New Roman PS Std;serif" w:hAnsi="Times New Roman PS Std;serif"/>
          <w:b w:val="false"/>
          <w:i w:val="false"/>
          <w:caps w:val="false"/>
          <w:smallCaps w:val="false"/>
          <w:sz w:val="20"/>
        </w:rPr>
        <w:t>” means the draft merger agreement dated July 3, 2026, as amended by Amendment No. 1 thereto dated July 27, 2026, entered into in connection with the Merger, between Merger Sub and Legacy Pasqal and in accordance with the requirements of the French Commercial Code.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IFRS</w:t>
      </w:r>
      <w:r>
        <w:rPr>
          <w:rFonts w:ascii="Times New Roman PS Std;serif" w:hAnsi="Times New Roman PS Std;serif"/>
          <w:b w:val="false"/>
          <w:i w:val="false"/>
          <w:caps w:val="false"/>
          <w:smallCaps w:val="false"/>
          <w:sz w:val="20"/>
        </w:rPr>
        <w:t>” means International Financial Reporting Standards as issued by the International Accounting Standards Board.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Incentive Plans</w:t>
      </w:r>
      <w:r>
        <w:rPr>
          <w:rFonts w:ascii="Times New Roman PS Std;serif" w:hAnsi="Times New Roman PS Std;serif"/>
          <w:b w:val="false"/>
          <w:i w:val="false"/>
          <w:caps w:val="false"/>
          <w:smallCaps w:val="false"/>
          <w:sz w:val="20"/>
        </w:rPr>
        <w:t>” means, collectively, the RSU Incentive Plan, the BSPCE Incentive Plan and the Stock Option Incentive Plan.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Inflection Point</w:t>
      </w:r>
      <w:r>
        <w:rPr>
          <w:rFonts w:ascii="Times New Roman PS Std;serif" w:hAnsi="Times New Roman PS Std;serif"/>
          <w:b w:val="false"/>
          <w:i w:val="false"/>
          <w:caps w:val="false"/>
          <w:smallCaps w:val="false"/>
          <w:sz w:val="20"/>
        </w:rPr>
        <w:t>” means Inflection Point Fund I LP, in whose general partner Mr. Gundlach has, individually and through affiliates, a non-voting, non-controlling indirect financial interest.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Investment</w:t>
      </w:r>
      <w:r>
        <w:rPr>
          <w:rFonts w:ascii="Times New Roman PS Std;serif" w:hAnsi="Times New Roman PS Std;serif"/>
          <w:b w:val="false"/>
          <w:i w:val="false"/>
          <w:caps w:val="false"/>
          <w:smallCaps w:val="false"/>
          <w:sz w:val="20"/>
        </w:rPr>
        <w:t>” means the convertible financing by Legacy Pasqal and Bleichroeder with select key investors as evidenced by the March 2026 SPA.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Investment Warrants</w:t>
      </w:r>
      <w:r>
        <w:rPr>
          <w:rFonts w:ascii="Times New Roman PS Std;serif" w:hAnsi="Times New Roman PS Std;serif"/>
          <w:b w:val="false"/>
          <w:i w:val="false"/>
          <w:caps w:val="false"/>
          <w:smallCaps w:val="false"/>
          <w:sz w:val="20"/>
        </w:rPr>
        <w:t>” means the warrants (bons de souscription d’actions) to purchase Ordinary Shares issued pursuant to the March 2026 SPA on the Closing Date, initially exercisable at $12.00 per Ordinary Share, subject to adjustment.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IP Investors</w:t>
      </w:r>
      <w:r>
        <w:rPr>
          <w:rFonts w:ascii="Times New Roman PS Std;serif" w:hAnsi="Times New Roman PS Std;serif"/>
          <w:b w:val="false"/>
          <w:i w:val="false"/>
          <w:caps w:val="false"/>
          <w:smallCaps w:val="false"/>
          <w:sz w:val="20"/>
        </w:rPr>
        <w:t>” means, in connection with the Investment provided for under the March 2026 SPA, those certain investors led by Inflection Point holding the Designation Right to designate one IP Nominee.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Investors</w:t>
      </w:r>
      <w:r>
        <w:rPr>
          <w:rFonts w:ascii="Times New Roman PS Std;serif" w:hAnsi="Times New Roman PS Std;serif"/>
          <w:b w:val="false"/>
          <w:i w:val="false"/>
          <w:caps w:val="false"/>
          <w:smallCaps w:val="false"/>
          <w:sz w:val="20"/>
        </w:rPr>
        <w:t>” means the investors party to the March 2026 SPA.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JOBS Act</w:t>
      </w:r>
      <w:r>
        <w:rPr>
          <w:rFonts w:ascii="Times New Roman PS Std;serif" w:hAnsi="Times New Roman PS Std;serif"/>
          <w:b w:val="false"/>
          <w:i w:val="false"/>
          <w:caps w:val="false"/>
          <w:smallCaps w:val="false"/>
          <w:sz w:val="20"/>
        </w:rPr>
        <w:t>” means the Jumpstart Our Business Startups Act of 2012,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Legacy Equity Program</w:t>
      </w:r>
      <w:r>
        <w:rPr>
          <w:rFonts w:ascii="Times New Roman PS Std;serif" w:hAnsi="Times New Roman PS Std;serif"/>
          <w:b w:val="false"/>
          <w:i w:val="false"/>
          <w:caps w:val="false"/>
          <w:smallCaps w:val="false"/>
          <w:sz w:val="20"/>
        </w:rPr>
        <w:t>” means the legacy BSPCE program established by Legacy Pasqal.</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March 2026 Financing</w:t>
      </w:r>
      <w:r>
        <w:rPr>
          <w:rFonts w:ascii="Times New Roman PS Std;serif" w:hAnsi="Times New Roman PS Std;serif"/>
          <w:b w:val="false"/>
          <w:i w:val="false"/>
          <w:caps w:val="false"/>
          <w:smallCaps w:val="false"/>
          <w:sz w:val="20"/>
        </w:rPr>
        <w:t>” means the $312.5 million aggregate principal amount of Senior Unsecured Convertible Bonds convertible into New Pasqal Ordinary Shares and Investment Warrants for an aggregate purchase price of $250.0 million be issued pursuant to the March 2026 SPA immediately following the closing of the Business Combination.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Masse</w:t>
      </w:r>
      <w:r>
        <w:rPr>
          <w:rFonts w:ascii="Times New Roman PS Std;serif" w:hAnsi="Times New Roman PS Std;serif"/>
          <w:b w:val="false"/>
          <w:i w:val="false"/>
          <w:caps w:val="false"/>
          <w:smallCaps w:val="false"/>
          <w:sz w:val="20"/>
        </w:rPr>
        <w:t>” means the holders of the Senior Unsecured Convertible Bonds who are organized as a group for the representation of their interests.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March 2026 SPA</w:t>
      </w:r>
      <w:r>
        <w:rPr>
          <w:rFonts w:ascii="Times New Roman PS Std;serif" w:hAnsi="Times New Roman PS Std;serif"/>
          <w:b w:val="false"/>
          <w:i w:val="false"/>
          <w:caps w:val="false"/>
          <w:smallCaps w:val="false"/>
          <w:sz w:val="20"/>
        </w:rPr>
        <w:t>” means that certain Securities Purchase Agreement, dated as of March 4, 2026, as amended by Amendment No. 1 thereto dated May 23, 2026, by and among Bleichroeder, Merger Sub and the Investors.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MC Advisory</w:t>
      </w:r>
      <w:r>
        <w:rPr>
          <w:rFonts w:ascii="Times New Roman PS Std;serif" w:hAnsi="Times New Roman PS Std;serif"/>
          <w:b w:val="false"/>
          <w:i w:val="false"/>
          <w:caps w:val="false"/>
          <w:smallCaps w:val="false"/>
          <w:sz w:val="20"/>
        </w:rPr>
        <w:t>” means MC Advisory L.L.C-FZ, an entity formed in Dubai (of which Michel Combes, our Lead Independent Director, is the manager).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Merger</w:t>
      </w:r>
      <w:r>
        <w:rPr>
          <w:rFonts w:ascii="Times New Roman PS Std;serif" w:hAnsi="Times New Roman PS Std;serif"/>
          <w:b w:val="false"/>
          <w:i w:val="false"/>
          <w:caps w:val="false"/>
          <w:smallCaps w:val="false"/>
          <w:sz w:val="20"/>
        </w:rPr>
        <w:t>” means the merger of Legacy Pasqal with and into Bleichroeder Surviving Corporation, with Bleichroeder Surviving Corporation surviving the merger and continuing as New Pasqal, the surviving company, pursuant to the French Merger Agreement and changing its name to “Pasqal Holding SA”.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Mergers</w:t>
      </w:r>
      <w:r>
        <w:rPr>
          <w:rFonts w:ascii="Times New Roman PS Std;serif" w:hAnsi="Times New Roman PS Std;serif"/>
          <w:b w:val="false"/>
          <w:i w:val="false"/>
          <w:caps w:val="false"/>
          <w:smallCaps w:val="false"/>
          <w:sz w:val="20"/>
        </w:rPr>
        <w:t>” means the Merger and the Reincorporation Merger.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Nasdaq</w:t>
      </w:r>
      <w:r>
        <w:rPr>
          <w:rFonts w:ascii="Times New Roman PS Std;serif" w:hAnsi="Times New Roman PS Std;serif"/>
          <w:b w:val="false"/>
          <w:i w:val="false"/>
          <w:caps w:val="false"/>
          <w:smallCaps w:val="false"/>
          <w:sz w:val="20"/>
        </w:rPr>
        <w:t>” means the Nasdaq Stock Market LLC.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neutral atoms</w:t>
      </w:r>
      <w:r>
        <w:rPr>
          <w:rFonts w:ascii="Times New Roman PS Std;serif" w:hAnsi="Times New Roman PS Std;serif"/>
          <w:b w:val="false"/>
          <w:i w:val="false"/>
          <w:caps w:val="false"/>
          <w:smallCaps w:val="false"/>
          <w:sz w:val="20"/>
        </w:rPr>
        <w:t>” refer to the modality that builds quantum systems by isolating, controlling and measuring atoms in a vacuum chamber using lasers, enabling long coherence times, high gate fidelities and precision sensing.</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Board of Directors</w:t>
      </w:r>
      <w:r>
        <w:rPr>
          <w:rFonts w:ascii="Times New Roman PS Std;serif" w:hAnsi="Times New Roman PS Std;serif"/>
          <w:b w:val="false"/>
          <w:i w:val="false"/>
          <w:caps w:val="false"/>
          <w:smallCaps w:val="false"/>
          <w:sz w:val="20"/>
        </w:rPr>
        <w:t>” means the board of directors of New Pasqal, effective upon the Closing.</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Ordinary Shares</w:t>
      </w:r>
      <w:r>
        <w:rPr>
          <w:rFonts w:ascii="Times New Roman PS Std;serif" w:hAnsi="Times New Roman PS Std;serif"/>
          <w:b w:val="false"/>
          <w:i w:val="false"/>
          <w:caps w:val="false"/>
          <w:smallCaps w:val="false"/>
          <w:sz w:val="20"/>
        </w:rPr>
        <w:t>” means ordinary shares, par value of approximately €0.02 per share, of the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Private Placement Warrants</w:t>
      </w:r>
      <w:r>
        <w:rPr>
          <w:rFonts w:ascii="Times New Roman PS Std;serif" w:hAnsi="Times New Roman PS Std;serif"/>
          <w:b w:val="false"/>
          <w:i w:val="false"/>
          <w:caps w:val="false"/>
          <w:smallCaps w:val="false"/>
          <w:sz w:val="20"/>
        </w:rPr>
        <w:t>” means the 7,750,000 warrants originally issued in a private placement to the Sponsor (5,000,000), Cohen (2,612,500) and Clear Street (137,500) concurrently with the Bleichroeder IPO, each of which is exercisable at $11.50 per Ordinary Share, subject to adjustment.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Public Warrants</w:t>
      </w:r>
      <w:r>
        <w:rPr>
          <w:rFonts w:ascii="Times New Roman PS Std;serif" w:hAnsi="Times New Roman PS Std;serif"/>
          <w:b w:val="false"/>
          <w:i w:val="false"/>
          <w:caps w:val="false"/>
          <w:smallCaps w:val="false"/>
          <w:sz w:val="20"/>
        </w:rPr>
        <w:t>” means the 9,583,333 warrants sold in connection with the Bleichroeder IPO, each of which is exercisable at $11.50 per Ordinary Share, subject to adjustment.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PFIC</w:t>
      </w:r>
      <w:r>
        <w:rPr>
          <w:rFonts w:ascii="Times New Roman PS Std;serif" w:hAnsi="Times New Roman PS Std;serif"/>
          <w:b w:val="false"/>
          <w:i w:val="false"/>
          <w:caps w:val="false"/>
          <w:smallCaps w:val="false"/>
          <w:sz w:val="20"/>
        </w:rPr>
        <w:t>” means a “passive foreign investment company” within the meaning of Section 1297(a) of the Code.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quantum advantage</w:t>
      </w:r>
      <w:r>
        <w:rPr>
          <w:rFonts w:ascii="Times New Roman PS Std;serif" w:hAnsi="Times New Roman PS Std;serif"/>
          <w:b w:val="false"/>
          <w:i w:val="false"/>
          <w:caps w:val="false"/>
          <w:smallCaps w:val="false"/>
          <w:sz w:val="20"/>
        </w:rPr>
        <w:t>” means when a quantum device (e.g., quantum computer) outperforms the best-in-class classical device at a task.</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quantum computing</w:t>
      </w:r>
      <w:r>
        <w:rPr>
          <w:rFonts w:ascii="Times New Roman PS Std;serif" w:hAnsi="Times New Roman PS Std;serif"/>
          <w:b w:val="false"/>
          <w:i w:val="false"/>
          <w:caps w:val="false"/>
          <w:smallCaps w:val="false"/>
          <w:sz w:val="20"/>
        </w:rPr>
        <w:t>” means computations that run simultaneously from qubits’ superposed states, which are manipulated with wave interference.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qubits</w:t>
      </w:r>
      <w:r>
        <w:rPr>
          <w:rFonts w:ascii="Times New Roman PS Std;serif" w:hAnsi="Times New Roman PS Std;serif"/>
          <w:b w:val="false"/>
          <w:i w:val="false"/>
          <w:caps w:val="false"/>
          <w:smallCaps w:val="false"/>
          <w:sz w:val="20"/>
        </w:rPr>
        <w:t>” means the basic unit of quantum information; unlike bits (0 or 1) used in classical computing, qubits can hold both values simultaneously.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Reincorporation Merger</w:t>
      </w:r>
      <w:r>
        <w:rPr>
          <w:rFonts w:ascii="Times New Roman PS Std;serif" w:hAnsi="Times New Roman PS Std;serif"/>
          <w:b w:val="false"/>
          <w:i w:val="false"/>
          <w:caps w:val="false"/>
          <w:smallCaps w:val="false"/>
          <w:sz w:val="20"/>
        </w:rPr>
        <w:t>” means the merger of Bleichroeder with and into Merger Sub in accordance with Part 16 of the Cayman Companies Act and the French Commercial Code, with Merger Sub continuing as the surviving entity, such that the undertaking, property and liabilities of Bleichroeder and Merger Sub vested in the Bleichroeder Surviving Corporation by virtue of such merger.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Rollover BSPCEs</w:t>
      </w:r>
      <w:r>
        <w:rPr>
          <w:rFonts w:ascii="Times New Roman PS Std;serif" w:hAnsi="Times New Roman PS Std;serif"/>
          <w:b w:val="false"/>
          <w:i w:val="false"/>
          <w:caps w:val="false"/>
          <w:smallCaps w:val="false"/>
          <w:sz w:val="20"/>
        </w:rPr>
        <w:t>” means each outstanding Legacy Pasqal BSPCE (</w:t>
      </w:r>
      <w:r>
        <w:rPr>
          <w:rFonts w:ascii="Times New Roman PS Std;serif" w:hAnsi="Times New Roman PS Std;serif"/>
          <w:b w:val="false"/>
          <w:i/>
          <w:caps w:val="false"/>
          <w:smallCaps w:val="false"/>
          <w:sz w:val="20"/>
        </w:rPr>
        <w:t>bons de souscription de parts de créateur d’entreprise</w:t>
      </w:r>
      <w:r>
        <w:rPr>
          <w:rFonts w:ascii="Times New Roman PS Std;serif" w:hAnsi="Times New Roman PS Std;serif"/>
          <w:b w:val="false"/>
          <w:i w:val="false"/>
          <w:caps w:val="false"/>
          <w:smallCaps w:val="false"/>
          <w:sz w:val="20"/>
        </w:rPr>
        <w:t>), which are French startup stock warrants that give employees the right to subscribe to shares at a predefined exercise price, that, at the Closing, were assumed by New Pasqal and will grant the right to subscribe for Ordinary Shares, with the number of shares adjusted, as applicable, to reflect the exchange ratio set forth in the French Merger Agreement and as set forth in the allocation schedule delivered pursuant to the Business Combination Agreement.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means the U.S. Securities and Exchange Commission.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Securities Act</w:t>
      </w:r>
      <w:r>
        <w:rPr>
          <w:rFonts w:ascii="Times New Roman PS Std;serif" w:hAnsi="Times New Roman PS Std;serif"/>
          <w:b w:val="false"/>
          <w:i w:val="false"/>
          <w:caps w:val="false"/>
          <w:smallCaps w:val="false"/>
          <w:sz w:val="20"/>
        </w:rPr>
        <w:t>” means the Securities Act of 1933,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Sponsor</w:t>
      </w:r>
      <w:r>
        <w:rPr>
          <w:rFonts w:ascii="Times New Roman PS Std;serif" w:hAnsi="Times New Roman PS Std;serif"/>
          <w:b w:val="false"/>
          <w:i w:val="false"/>
          <w:caps w:val="false"/>
          <w:smallCaps w:val="false"/>
          <w:sz w:val="20"/>
        </w:rPr>
        <w:t>” means Bleichroeder Sponsor 2 LLC, a Delaware limited liability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superposition</w:t>
      </w:r>
      <w:r>
        <w:rPr>
          <w:rFonts w:ascii="Times New Roman PS Std;serif" w:hAnsi="Times New Roman PS Std;serif"/>
          <w:b w:val="false"/>
          <w:i w:val="false"/>
          <w:caps w:val="false"/>
          <w:smallCaps w:val="false"/>
          <w:sz w:val="20"/>
        </w:rPr>
        <w:t>” means the potential for a qubit to be in a state of 0, 1, or in a quantum superposition of both 0 and 1 at the same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Warrants</w:t>
      </w:r>
      <w:r>
        <w:rPr>
          <w:rFonts w:ascii="Times New Roman PS Std;serif" w:hAnsi="Times New Roman PS Std;serif"/>
          <w:b w:val="false"/>
          <w:i w:val="false"/>
          <w:caps w:val="false"/>
          <w:smallCaps w:val="false"/>
          <w:sz w:val="20"/>
        </w:rPr>
        <w:t>” means the Public Warrants and the Private Placement Warrants.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Warrant Agreement</w:t>
      </w:r>
      <w:r>
        <w:rPr>
          <w:rFonts w:ascii="Times New Roman PS Std;serif" w:hAnsi="Times New Roman PS Std;serif"/>
          <w:b w:val="false"/>
          <w:i w:val="false"/>
          <w:caps w:val="false"/>
          <w:smallCaps w:val="false"/>
          <w:sz w:val="20"/>
        </w:rPr>
        <w:t>” means that certain Warrant Agreement, dated as of January 7, 2026, by and between Bleichroeder and Continental, as warrant agent, as amended by the Warrant Amendment Agreement in connection with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Warrant Delegation</w:t>
      </w:r>
      <w:r>
        <w:rPr>
          <w:rFonts w:ascii="Times New Roman PS Std;serif" w:hAnsi="Times New Roman PS Std;serif"/>
          <w:b w:val="false"/>
          <w:i w:val="false"/>
          <w:caps w:val="false"/>
          <w:smallCaps w:val="false"/>
          <w:sz w:val="20"/>
        </w:rPr>
        <w:t>” means the delegation of authority to grant warrants (</w:t>
      </w:r>
      <w:r>
        <w:rPr>
          <w:rFonts w:ascii="Times New Roman PS Std;serif" w:hAnsi="Times New Roman PS Std;serif"/>
          <w:b w:val="false"/>
          <w:i/>
          <w:caps w:val="false"/>
          <w:smallCaps w:val="false"/>
          <w:sz w:val="20"/>
        </w:rPr>
        <w:t>bons de souscription d’actions</w:t>
      </w:r>
      <w:r>
        <w:rPr>
          <w:rFonts w:ascii="Times New Roman PS Std;serif" w:hAnsi="Times New Roman PS Std;serif"/>
          <w:b w:val="false"/>
          <w:i w:val="false"/>
          <w:caps w:val="false"/>
          <w:smallCaps w:val="false"/>
          <w:sz w:val="20"/>
        </w:rPr>
        <w:t>) approved by the shareholders of New Pasqal in connection with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U.S. GAAP</w:t>
      </w:r>
      <w:r>
        <w:rPr>
          <w:rFonts w:ascii="Times New Roman PS Std;serif" w:hAnsi="Times New Roman PS Std;serif"/>
          <w:b w:val="false"/>
          <w:i w:val="false"/>
          <w:caps w:val="false"/>
          <w:smallCaps w:val="false"/>
          <w:sz w:val="20"/>
        </w:rPr>
        <w:t>” means United States generally accepted accounting principles.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104"/>
      <w:bookmarkEnd w:id="4"/>
      <w:r>
        <w:rPr>
          <w:rFonts w:ascii="Times New Roman PS Std;serif" w:hAnsi="Times New Roman PS Std;serif"/>
          <w:b/>
          <w:i w:val="false"/>
          <w:caps w:val="false"/>
          <w:smallCaps w:val="false"/>
          <w:sz w:val="2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the information set forth in the sections titled “Risk Factors,” “Our Business” and “Management’s Discussion and Analysis of Financial Condition and Results of Operations” and our consolidated financial statements and the notes thereto included elsewhere in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build and deliver industry-ready neutral-atom quantum processing units (“</w:t>
      </w:r>
      <w:r>
        <w:rPr>
          <w:rFonts w:ascii="Times New Roman PS Std;serif" w:hAnsi="Times New Roman PS Std;serif"/>
          <w:b/>
          <w:i w:val="false"/>
          <w:caps w:val="false"/>
          <w:smallCaps w:val="false"/>
          <w:sz w:val="20"/>
          <w:bdr w:val="single" w:sz="8" w:space="10" w:color="000000"/>
        </w:rPr>
        <w:t>QPUs</w:t>
      </w:r>
      <w:r>
        <w:rPr>
          <w:rFonts w:ascii="Times New Roman PS Std;serif" w:hAnsi="Times New Roman PS Std;serif"/>
          <w:b w:val="false"/>
          <w:i w:val="false"/>
          <w:caps w:val="false"/>
          <w:smallCaps w:val="false"/>
          <w:sz w:val="20"/>
          <w:bdr w:val="single" w:sz="8" w:space="10" w:color="000000"/>
        </w:rPr>
        <w:t>”), which are designed to transform cutting-edge scientific breakthroughs into real-world business solutions across multiple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Founded in 2019 out of the Institut d’Optique by Dr. Georges-Olivier Reymond, Dr. Christophe Jurczak, Professor Alain Aspect (Nobel Prize Laureate Physics, 2022), Professor Antoine Browaeys and Dr. Thierry Lahaye, we are at the forefront of neutral-atom quantum computing. As of the date of this prospectus, following the consummation of the Business Combination, we have approximately $360 million or €310 million of cash available, employ approximately 300 people worldwide including more than 70 PhDs, hold approximately 92 issued and pending patents, and have offices in France, the United States, Canada, Saudi Arabia, South Korea, and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neutral-atom technology enables complex computational challenges to be solved for numerous applications in key sectors such as energy and utilities, finance, high value materials and manufacturing, healthcare and pharmaceuticals, logistics, aerospace and defense and artificial intelligence. We employ a modular approach to our neutral-atom processors, enabling the expansion of qubit arrays without compromising performance or fidelity. Our technology supports the arrangement of large numbers of neutral atoms (over 1,000 trapped atoms already demonstrated) in both two- and three-dimensional configurations, paving the way for systems with tens of thousands of physical qubits and hundreds of logical qubits by the end of this decade. We have demonstrated the scaling of our commercial capability with seven QPUs installed and three in production, and have two operational QPU manufacturing facilities in France and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work with a diverse set of customers and strategic partners globally, including IBM (we are part of the IBM quantum network), NVIDIA, Google, Microsoft, and leading high-performance computing centers such as GENCI/CEA, CINECA and Forschungszentrum Jülich. Our revenue is derived from direct sales of QPUs, cloud-based access to QPUs, and software and algorithm services. For the year ended December 31, 2025, we recorded revenue of €16.4 million. For the six months ended June 30, 2026, we recorded revenue of €4.9 million. As of June 30, 2026, we had approximately $79.1 million (€70.4 million) in booked and awarded business, including grants.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Background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February 28, 2026, Bleichroeder, Legacy Pasqal and Merger Sub entered into the Business Combination Agreement, which, among other things and subject to the terms and conditions contained therein, provided for (a) the merger of Bleichroeder with and into Merger Sub, pursuant to Part 16 of the Cayman Companies Act and the French Commercial Code, with Merger Sub surviving the merger, and (b) the merger of Legacy Pasqal with and into Bleichroeder Surviving Corporation by way of a merger by absorption (fusion-absorption) in accordance with Articles L. 236-1 et seq. of the French Commercial Code, with the Bleichroeder Surviving Corporation continuing as the surviving company and changing its name to Pasqal Holding 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August 25, 2026, Bleichroeder held an extraordinary general meeting of shareholders of Bleichroeder where the shareholders of Bleichroeder considered and approved a number of matters, including the consummation of the Business Combination. In connection with the Reincorporation Merger, Bleichroeder merged with and into Merger Sub, with Merger Sub continuing as the surviving entity. Following the Reincorporation Merger, Legacy Pasqal merged with and into Bleichroeder Surviving Corporation, with Bleichroeder Surviving Corporation surviving the Merger and being renamed as Pasqal Holding 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August 27, 2026, we consummated the transactions contemplated by the Business Combination Agreement and effected the Business Combination. On the Closing Date, at the effective time of the Reincorporation Merger, (i) each then issued and outstanding Bleichroeder Class A Ordinary Share (excluding Treasury Shares and Redeeming Shares) and each then issued and outstanding Bleichroeder Class B Ordinary Share was cancelled and automatically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converted into one Ordinary Share, and (ii) each then issued and outstanding whole warrant to purchase Bleichroeder Class A Ordinary Shares was converted into one warrant to purchase one Ordinary Share on the same terms and conditions existing prior to such conversion. At the effective time of the Merger, Legacy Pasqal was dissolved without liquidation (dissolution sans liquidation), together with the completion of a universal transfer of assets and liabilities (transmission universelle de patrimoine) pursuant to which New Pasqal succeeded to all of the rights and obligations of Legacy Pasqal, and, among other things: (a) each then issued and outstanding “Class Seed” ordinary share, common ordinary share, “Class A” ordinary share, “Class B” ordinary share and “Class C” ordinary share of Legacy Pasqal, in each case with a par value of €0.10 per share, was exchanged for Ordinary Shares using the Exchange Ratio, resulting in the issuance of 199,999,960 Ordinary Shares to the former shareholders of Legacy Pasqal; and (b) each then issued and outstanding Rollover BSPCE was assumed by the Company and grants the right to subscribe for Ordinary Shares, with the number of shares adjusted to reflect the Exchange Ratio, on the same terms and conditions (including vesting, exercise period and expiration date) as were applicable immediately prior to the effective time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Substantially concurrently with the Closing, we consummated the March 2026 Financing, pursuant to which we issued $312,500,000 aggregate principal amount of Senior Unsecured Convertible Bonds, initially convertible into 26,041,667 Ordinary Shares at an initial conversion price of $12.00 per Ordinary Share, together with 32,552,083 Investment Warrants exercisable at $12.00 per Ordinary Share, for an aggregate subscription price of $250.0 million, reflecting a 20% original issue discount in a private placement.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offices are located at 24, rue Emile Baudot, 91120 Palaiseau, France and our telephone number is +33 (0) 7 49 63 73 31. Our corporate website address is www.pasqal.com. Information contained on or accessible through our website is not a part of this prospectus, and the inclusion of our website address is an inactive textual reference only.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emerging growth company as defined in the JOBS Act. We may take advantage of certain exemptions from various reporting requirements that are applicable to other public companies but not to emerging growth companies including, but not limited to, the independent registered public accounting firm attestation requirements of Section 404 of the Sarbanes-Oxley Act, reduced disclosure obligations regarding executive compensation in periodic reports and proxy statements, and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Foreign Private Issuer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report under the Exchange Act as a non-U.S. company with foreign private issuer status. In our capacity as a foreign private issuer, we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of Section 16 of the Exchange Act.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in this prospectus. The below summary is qualified in its entirety by that more complete discussion of such risks and uncertainties. You should carefully consider the risks and uncertainties described under the section titled “Risk Factors” as part of your evaluation of an investment in our securities: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in our growth stage and have a limited operating history, which makes it difficult to forecast our future results of operations and funding requirements. It is also possible quantum computing might never become commercially viable or embraced.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have a history of operating losses and expect to incur significant expenses and continuing losses for the foreseeable future.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require a significant amount of additional capital to pursue our business objectives and cannot be sure that additional financing will be available on reasonable terms or at all.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technical roadmap involves technology that is still under development and may not become available on the expected timeline or achieve the intended performance level.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quantum computing industry is competitive on a global scale and we may not be successful in competing in this industry.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products and services are dependent upon our relationship with various third-party providers.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unable to maintain current strategic partnerships or realize the anticipated benefits from existing or future customer and government relationships.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future growth depends, in part, on our ability to penetrate multiple international markets.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subject to restrictions or delays in changes of control or significant investments due to French State influence and foreign investment regulations.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unable to obtain and maintain patent protection for our technology, our competitors could develop and commercialize similar products.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currently report financial results under IFRS, which differs in certain significant respects from U.S. GAAP.</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a société anonyme formed under the laws of France, we are permitted to adopt certain home country practices that differ from Nasdaq corporate governance listing standards.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we are organized under the laws of France, investors may face difficulties in protecting their interests through the U.S. federal courts.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face limitations on shareholder liquidity and transferability of our securities due to French State interests and regulatory requirements.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market price of our Ordinary Shares may be volatile, which could cause the value of your investment to decline.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exercise of outstanding warrants or the conversion of the Convertible Bonds issued in connection with the March 2026 Financing will dilute existing stockholders and could adversely affect the market price of our Ordinary Shares.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Significant sales of our Ordinary Shares, or the perception that such sales could occur, could cause the market price of our Ordinary Shares to decline.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qualify as a foreign private issuer and as such are exempt from certain provisions applicable to United States domestic public companies.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or become a PFIC, which could result in adverse U.S. federal income tax consequences to U.S. 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5" w:name="T99105"/>
      <w:bookmarkEnd w:id="5"/>
      <w:r>
        <w:rPr>
          <w:rFonts w:ascii="Times New Roman PS Std;serif" w:hAnsi="Times New Roman PS Std;serif"/>
          <w:b/>
          <w:i w:val="false"/>
          <w:caps w:val="false"/>
          <w:smallCaps w:val="false"/>
          <w:sz w:val="20"/>
          <w:bdr w:val="single" w:sz="8" w:space="10" w:color="000000"/>
        </w:rPr>
        <w:t xml:space="preserve">THE OFFERING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presented in greater detail elsewhere in this prospectus. This summary is not complete and does not contain all the information you should consider before investing in our securities. You should carefully read this entire prospectus before investing in our securities, including the sections titled “Risk Factors” and “Cautionary Note Regarding Forward-Looking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Statements” in this prospectus, our consolidated financial statements and notes to those consolidated financial statements and other financial information presented herein.</w:t>
      </w:r>
    </w:p>
    <w:tbl>
      <w:tblPr>
        <w:tblW w:w="2773" w:type="dxa"/>
        <w:jc w:val="left"/>
        <w:tblInd w:w="0" w:type="dxa"/>
        <w:tblLayout w:type="fixed"/>
        <w:tblCellMar>
          <w:top w:w="0" w:type="dxa"/>
          <w:left w:w="0" w:type="dxa"/>
          <w:bottom w:w="0" w:type="dxa"/>
          <w:right w:w="0" w:type="dxa"/>
        </w:tblCellMar>
      </w:tblPr>
      <w:tblGrid>
        <w:gridCol w:w="706"/>
        <w:gridCol w:w="146"/>
        <w:gridCol w:w="1921"/>
      </w:tblGrid>
      <w:tr>
        <w:trPr/>
        <w:tc>
          <w:tcPr>
            <w:tcW w:w="7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Issuer</w:t>
            </w:r>
          </w:p>
        </w:tc>
        <w:tc>
          <w:tcPr>
            <w:tcW w:w="146" w:type="dxa"/>
            <w:tcBorders/>
          </w:tcPr>
          <w:p>
            <w:pPr>
              <w:pStyle w:val="TableContents"/>
              <w:bidi w:val="0"/>
              <w:spacing w:before="0" w:after="283"/>
              <w:jc w:val="left"/>
              <w:rPr/>
            </w:pPr>
            <w:r>
              <w:rPr/>
              <w:t> </w:t>
            </w:r>
          </w:p>
        </w:tc>
        <w:tc>
          <w:tcPr>
            <w:tcW w:w="192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Holding SA</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Issuance of Ordinary Shares Pursuant to Exercise of Warrants</w:t>
      </w:r>
    </w:p>
    <w:tbl>
      <w:tblPr>
        <w:tblW w:w="10205" w:type="dxa"/>
        <w:jc w:val="left"/>
        <w:tblInd w:w="0" w:type="dxa"/>
        <w:tblLayout w:type="fixed"/>
        <w:tblCellMar>
          <w:top w:w="0" w:type="dxa"/>
          <w:left w:w="0" w:type="dxa"/>
          <w:bottom w:w="0" w:type="dxa"/>
          <w:right w:w="0" w:type="dxa"/>
        </w:tblCellMar>
      </w:tblPr>
      <w:tblGrid>
        <w:gridCol w:w="2331"/>
        <w:gridCol w:w="146"/>
        <w:gridCol w:w="7728"/>
      </w:tblGrid>
      <w:tr>
        <w:trPr/>
        <w:tc>
          <w:tcPr>
            <w:tcW w:w="2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offered by us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17,333,333 Ordinary Shares, consisting of (i) up to 9,583,333 Ordinary Shares issuable upon the exercise of 9,583,333 Public Warrants and (ii) up to 7,750,000 Ordinary Shares issuable upon the exercise of 7,750,000 Private Placement Warrants.</w:t>
            </w:r>
          </w:p>
        </w:tc>
      </w:tr>
      <w:tr>
        <w:trPr/>
        <w:tc>
          <w:tcPr>
            <w:tcW w:w="233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prior to the exercise of all Warrants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212,293,691</w:t>
            </w:r>
          </w:p>
        </w:tc>
      </w:tr>
      <w:tr>
        <w:trPr/>
        <w:tc>
          <w:tcPr>
            <w:tcW w:w="233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assuming exercise of all Warrants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229,627,024</w:t>
            </w:r>
          </w:p>
        </w:tc>
      </w:tr>
      <w:tr>
        <w:trPr/>
        <w:tc>
          <w:tcPr>
            <w:tcW w:w="233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 of Warrants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 per Ordinary Share, subject to adjustment as described herein.</w:t>
            </w:r>
          </w:p>
        </w:tc>
      </w:tr>
      <w:tr>
        <w:trPr/>
        <w:tc>
          <w:tcPr>
            <w:tcW w:w="233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proceeds from the exercise of the Warrants at an exercise price of $11.50 per Ordinary Share, assuming cash exercise. We expect to use the net proceeds from such exercises for general corporate purposes. See the section titled “Use of Proceeds.”</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Resale of Ordinary Shares and Private Placement Warrants</w:t>
      </w:r>
    </w:p>
    <w:tbl>
      <w:tblPr>
        <w:tblW w:w="10205" w:type="dxa"/>
        <w:jc w:val="left"/>
        <w:tblInd w:w="0" w:type="dxa"/>
        <w:tblLayout w:type="fixed"/>
        <w:tblCellMar>
          <w:top w:w="0" w:type="dxa"/>
          <w:left w:w="0" w:type="dxa"/>
          <w:bottom w:w="0" w:type="dxa"/>
          <w:right w:w="0" w:type="dxa"/>
        </w:tblCellMar>
      </w:tblPr>
      <w:tblGrid>
        <w:gridCol w:w="2962"/>
        <w:gridCol w:w="146"/>
        <w:gridCol w:w="7097"/>
      </w:tblGrid>
      <w:tr>
        <w:trPr/>
        <w:tc>
          <w:tcPr>
            <w:tcW w:w="296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offered by the Selling Securityholders</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resale by the Selling Securityholders named in this prospectus, or their permitted transferees, of up to an aggregate of 286,674,886 Ordinary Shares, consisting of:</w:t>
            </w:r>
          </w:p>
        </w:tc>
      </w:tr>
      <w:tr>
        <w:trPr/>
        <w:tc>
          <w:tcPr>
            <w:tcW w:w="296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56,287,179 Ordinary Shares issuable upon conversion of the Convertible Bonds;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50,080,128 Ordinary Shares issuable upon exercise of the Investment Warrants;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9,583,333 Founder Shares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7,750,000 Ordinary Shares issuable upon exercise of the Private Placement Warrants; and</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162,974,246 Ordinary Shares held by certain former shareholders of Legacy Pasqal in connection with the Merger.</w:t>
            </w:r>
          </w:p>
        </w:tc>
      </w:tr>
      <w:tr>
        <w:trPr/>
        <w:tc>
          <w:tcPr>
            <w:tcW w:w="29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Placement Warrants offered by the Selling Securityholders</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Up to 7,750,000 Private Placement Warrants.</w:t>
            </w:r>
          </w:p>
        </w:tc>
      </w:tr>
      <w:tr>
        <w:trPr/>
        <w:tc>
          <w:tcPr>
            <w:tcW w:w="29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Warrants are redeemable in certain circumstances. See the section titled “Description of Our Securities — Warrants.”</w:t>
            </w:r>
          </w:p>
        </w:tc>
      </w:tr>
      <w:tr>
        <w:trPr/>
        <w:tc>
          <w:tcPr>
            <w:tcW w:w="29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 restrictions</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securityholders are subject to certain restrictions on transfer until the termination of applicable lock-up periods.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178"/>
        <w:gridCol w:w="146"/>
        <w:gridCol w:w="8881"/>
      </w:tblGrid>
      <w:tr>
        <w:trPr/>
        <w:tc>
          <w:tcPr>
            <w:tcW w:w="117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88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Ordinary Shares or Private Placement Warrants by the Selling Securityholders. We will receive proceeds from any exercise of the Warrants at $11.50 per Ordinary Share or the Investment Warrants, but not from the sale of the Ordinary Shares issuable upon such exercise.</w:t>
            </w:r>
          </w:p>
        </w:tc>
      </w:tr>
      <w:tr>
        <w:trPr/>
        <w:tc>
          <w:tcPr>
            <w:tcW w:w="117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88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investing in our securities, you should carefully read and consider the information set forth in the section titled “Risk Factors” beginning on page 7.</w:t>
            </w:r>
          </w:p>
        </w:tc>
      </w:tr>
      <w:tr>
        <w:trPr/>
        <w:tc>
          <w:tcPr>
            <w:tcW w:w="117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ticker symbols</w:t>
            </w:r>
          </w:p>
        </w:tc>
        <w:tc>
          <w:tcPr>
            <w:tcW w:w="146" w:type="dxa"/>
            <w:tcBorders/>
          </w:tcPr>
          <w:p>
            <w:pPr>
              <w:pStyle w:val="TableContents"/>
              <w:bidi w:val="0"/>
              <w:spacing w:before="0" w:after="283"/>
              <w:jc w:val="left"/>
              <w:rPr/>
            </w:pPr>
            <w:r>
              <w:rPr/>
              <w:t> </w:t>
            </w:r>
          </w:p>
        </w:tc>
        <w:tc>
          <w:tcPr>
            <w:tcW w:w="888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and Public Warrants are currently traded on Nasdaq under the symbols “PSQL” and “PSQLW,” respectively.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additional information concerning the offering, see the section titled “Plan of Distribution” beginning on page 160.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106"/>
      <w:bookmarkEnd w:id="6"/>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Investing in our securities involves risks. Before you make a decision to buy our securities, in addition to the risks and uncertainties discussed above under “Cautionary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you should carefully consider the risks and uncertainties set forth herein as well as the other information in this prospectus,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financial condition, growth prospects, liquidity and results of operations. As a result, the market price of our securities could decline, and you could lose all or part of your investment. Additionally, the risks and uncertainties described in this prospectus are not the only risks and uncertainties that we face. Additional risks and uncertainties not presently known to us or that we currently believe to be immaterial may become material and adversely affect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Financial Condition and Status as an Early Stage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in our growth stage and have a limited operating history, concentrated customer base and an early-stage commercial model, which makes it difficult to forecast our future results of operations and our funding requirements. It is also possible quantum computing might never become commercially viable or embraced. Our technology roadmap, including the anticipated milestones and timing thereof, may 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founded in 2019 and, as a result of our limited operating history, our ability to accurately forecast our future results of operations is limited and subject to a number of uncertainties, including our ability to plan for and model future growth. Accordingly, our historical results should not be considered indicative of our future performance. Our ability to generate revenues will largely be dependent on our ability to develop and produce neutral atom-based quantum technology. We have experience in delivering early versions of our systems in limited quantities, and scaling them to high volumes requires additional learnings and work. Scaling production to higher volumes will require additional operational capabilities, industrialization efforts, and process improvements. There are significant technological and logistical challenges associated with developing, producing, marketing, selling, and distributing products in an advanced technology industry, and we may not be able to resolve all of the difficulties that may arise, including managing production at a scale or quality consistent with customer demand, in a timely or cost-effective manner, or at all. As a result, our scalable business model has not been formed and its technical roadmap may not be realized as quickly as hoped, or even at all. We may further update our technology roadmap in the future, including anticipated milestones and timeline. The development of our scalable business model will likely require substantially higher costs than incurred to date, while revenues will not substantially increase until more powerful, scalable computers are produced and commercially available, which requires technological advancements that may not occur on the currently anticipated timetable or at all. Our success as a business ultimately relies upon fundamental research and development breakthroughs in the coming years, and there is no certainty these milestones will be achieved as quickly as hoped, or even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future periods, our growth could slow or decline for a number of reasons, including slowing demand for our products and services, increased competition, changes to technology, inability to scale up our technology, a decrease in the growth of the market, or our failure, for any reason, to continue to take advantage of growth opportunities. We have also encountered, and will continue to encounter, risks and uncertainties frequently experienced by growing companies in rapidly changing industries. If our assumptions regarding these risks and uncertainties are incorrect or change, or if we do not address these risks successfully, our operating and financial results could differ materially from our expectations.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early-stage company, we have generated revenues from a limited number of customers, and our customer contracts to date have been largely project-based and individually negotiated. We have not yet established a broad, diversified customer base with recurring revenue streams, and our existing customer engagements have generally not been repeated in nature; past sales to any particular customer are not necessarily indicative of future sales to that customer. While the Company intends to expand and diversify our customer base over time, there can be no assurance that it will be successful in attracting new customers or that new customer relationships will generate revenues at levels comparable to those of our existing customers. Our ability to grow our customer base will depend on a number of factors, including market acceptance of our quantum computing solutions, our pricing and go-to-market strategy, and broader adoption of quantum computing technologies. Until we are able to establish a larger and more diversified customer base, our revenues may be volatile and difficult to predict.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transition to a more standardized, recurring commercial model will depend on, among other things, the development of scalable quantum computing products, broader market adoption, and our ability to structure repeatable commercial arrangements with new and existing customers. There can be no assurance that we will be successful in making this transition, and until it does, our revenues may remain volatile and difficult to predict.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a history of operating losses and expect to incur significant expenses and continuing losses for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net losses since inception and experienced negative cash flows from operations. We incurred net losses of €(48.5) million and €(92.4) million in 2024 and 2025, respectively. We incurred net losses of €(26.1) million and €(53.2) in the six months ended June 30, 2025 and 2026, respectively. As of December 31, 2025 and June 30, 2026 we had an accumulated deficit of €(32.5) million and €(124.9) million, respectively. These losses and accumulated deficit are a result of the substantial investments we have made to grow our business and we expect to make significant expenditures to expand our business in the future. To date, our primary sources of capital have been through private placements of our securities, revenue from the sale of our products and services and government assistance in the form of grants. Until such time as we can generate significant revenue from our products and services, we expect to finance our cash needs through public or private equity or debt financings or other capital sources. However, we may be unable to raise additional funds or enter into such other arrangements, when needed, on favorable terms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yet achieved profitability on an annual or quarterly basis and it is unclear if we will be able to achieve or sustain, if achieved, profitability. We plan to continue to invest in our research and development, sales, marketing and professional services efforts, and we anticipate that our operating expenses will continue to increase as we scale our business and expand our operations. We also expect our general and administrative expense to increase as a result of our growth and operating as a public company. Our expenses may be greater than we anticipate, and our investments intended to reach our technical targets and scale our business and make our technical infrastructure more efficient may not be successful. Our ability to achieve and sustain profitability is based on numerous factors, many of which are beyond our control. We may never be able to generate sufficient revenue to achieve or sustain profitability and we may incur significantly higher losses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make decisions that would reduce our short-term operating results if we believe those decisions will improve the experiences of our customers or if we believe such decisions will improve our operating results over the long-term. These decisions may not be consistent with the expectations of investors and may not produce the long-term benefits we expect, in which case our business may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generated initial, limited revenues from project sales, that were largely project-based, and our ability to scale project sales into a repeatable, standardized commercial model remains uncertain.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generated initial revenues from product sales. However, such revenues have historically been limited and largely project-based. Our future growth will depend on our ability to transition from customized or one-off projects to scalable and repeatable commercial model with standardized products, pricing and contractual terms applicable to a broader customer base. If we are unable to achieve this transition, our revenues and growth prospects could be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face unforeseen risks and challenges as a result of our corporate reorganization.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Legacy Pasqal undertook a significant corporate reorganization, pursuant to which all shareholders of Pasqal SAS contributed their shares in Pasqal SAS to Legacy Pasqal in exchange of Legacy Pasqal Shares. As a result, we may face unforeseen legal, tax, or operational risks related to such reorganization. Unforeseen issues could include, among other things, disputes over transfers of assets, recognition of tax positions, or fulfillment of contractual or regulatory obligations. Any such issues could result in additional costs, delays, or disruptions to our business, and could adversely affect our financial condition or our ability to execute our business strategy. Furthermore, the reorganization may require adjustments due to evolving regulatory and business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require a significant amount of additional capital to pursue our business objectives and respond to business opportunities, challenges and unforeseen circumstances, and we cannot be sure that additional financing will be available on terms reasonably acceptable or at all. If we are unable to raise additional funding when needed, we may be required to delay, limit or substantially reduce our development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and our future plans for expansion are capital-intensive, and the specific timing of cash inflows and outflows may fluctuate substantially from period to period. Our operating plan may change because of factors currently unknown,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Such financings may result in dilution to shareholders, the issuance of securities (including convertible debt) with priority as to liquidation and dividend and other rights more favorable than ordinary shares, and the imposition of covenants, including those limiting or restricting our ability to take certain actions, such as incurring additional debt or equity, making capital expenditures or declaring dividends, imposing repayment obligations or other restrictions that may adversely affect our business. Additionally, the March 2026 Financing, as well as significant indebtedness incurred as a result of the March 2026 Financing and the issuance of the Senior Unsecured Convertible Bonds may make our future fund raising more difficult. See the risk factor titled “</w:t>
      </w:r>
      <w:r>
        <w:rPr>
          <w:rFonts w:ascii="Times New Roman PS Std;serif" w:hAnsi="Times New Roman PS Std;serif"/>
          <w:b w:val="false"/>
          <w:i/>
          <w:caps w:val="false"/>
          <w:smallCaps w:val="false"/>
          <w:sz w:val="20"/>
        </w:rPr>
        <w:t>We have incurred significant indebtedness as a result of the March 2026 Financing and the issuance of the Senior Unsecured Convertible Bonds and we may incur additional indebtedness in the future. The indebtedness created by the sale of Senior Unsecured Convertible Bonds and any future indebtedness we incur exposes us to risks that could adversely affect our business, financial condition, and results of operations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funds we raise may not be sufficient to fund our operations or enable us to continue to implement our long-term business strategy. Further, our ability to raise additional capital may be adversely impacted by worsening global economic conditions, disruptions to and volatility in the credit and financial markets in the United States and France and current and future military conflicts and wars around the world including related sanctions, tariffs and trade protection measures. There can be no assurance that deterioration in credit and financial markets and loss of confidence in economic conditions will not occur. A severe or prolonged economic downturn could result in a variety of risks to our business, including weakened demand for our products and services and our ability to raise additional capital when needed on acceptable terms, if at all. If the equity and credit markets deteriorate, it may make any necessary financing more difficult, more costly and more dilutive. Failure to secure any necessary financing in a timely manner and on favorable terms could impair our ability to achieve our growth strategy, could harm our financial performance and stock price, could require us to delay or abandon our business plans and could require us to delay, limit or substantially reduce our development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financing will be available to us on favorable terms or at all. The inability to obtain financing when needed may make it more difficult for us to operate our business or implement our growth plans. In addition,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scale and adapt our business and existing technology in a timely or cost-effective manner to meet customer and market demand, which could result in lower profitability or cause us to fail to execute on our business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grow our business, we will need to continually evolve and scale our business and operations to meet customer and market demand. Quantum computing technology has never been sold at large-scale commercial levels. Evolving and scaling our business and operations places increased demands on our technology and management as well as our financial and operational resources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attract new customers and grow our customer base;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and increase the rates at which existing customers use our platform, sell additional products and services to our existing customers, and reduce customer churn;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 in our platform and product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effectively manage organizational 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accelerate and/or refocus research and development activities;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manufacturing and supply chain capacity;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sales and marketing efforts;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broaden customer-support and services capabilities;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or increase operational efficiencies;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 new or improved technologies in our products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 appropriate operational and financial systems;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effective financial disclosure controls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Commercial traction of quantum computing technology may never occur. As noted above, there are significant technological challenges associated with developing, producing, marketing and selling services in the advanced technology industry, including our services, and we may not be able to resolve all of the difficulties that may arise in a timely or cost-effective manner, or at all. We may not be able to cost effectively manage production at a scale or quality consistent with customer demand in a timely or economical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meet the performance and other requirements of our future customers, we intend to continue to make significant investments to increase capacity and to develop and implement new technologies in our products and services. These technologies include hardware and infrastructure, cloud provisioning, software architecture and the team’s capacity to triage and provide direct support.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scale is dependent also upon components it must source from multiple industries, including the electronics and laser systems industries, and shortages or supply interruptions in any of these components will adversely impact our ability to deliver revenues.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large-scale development of our quantum computers commences, our computers may contain defects in design and manufacture that may cause them to not perform as expected or that may require repair and design changes. Our quantum computers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computers. There can be no assurance that we will be able to detect and fix any defects in our quantum computers in a timely manner that does not disrupt our services to our customers or at all. 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ongoing improvements to our infrastructure may be more expensive than we anticipate, and may not yield the expected savings in operating costs or the expected performance benefits. If we cannot evolve and scale our business and operations effectively, it may not be able to execute our business strategies in a cost-effective manner and our business, financial condition, profitability and results of operations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rely heavily on future collaborative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and may enter into, strategic partnerships to develop and commercialize our current and future research and development programs with other companies to accomplish one or more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expertise in relevant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sales and marketing services or support;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equipment and facilities;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 relationships with potential future customers;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generate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successful in establishing or maintaining suitable partnerships, and we may not be able to negotiate collaboration agreements having terms satisfactory to us, or at all. Failure to make or maintain these arrangements or a delay or failure in a collaborative partner’s performance under any such arrangements could harm our business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opportunity estimates and growth forecasts, including those generated by us and those derived from market reports by leading research and consulting firms, are subject to significant uncertainty and are based on assumptions that may not prove to be accurate, as well as data published by third parties that we have not independently verified. The variables that go into the calculation of our market opportunity are subject to change over time, and there is no guarantee that any particular number or percentage of companies covered by our market opportunity estimates will purchase our products at all or generate any particular level of revenue for us. In addition, alternatives to quantum computing may present themselves and if they did, could substantially reduce the market for quantum computing services. Any expansion in our market depends on a number of factors, including the cost, performance, and perceived value associated with quantum computing solutions. The methodology and assumptions used to estimate market opportunities may differ materially from the methodologies and assumptions previously used to estimate total addressable market. Advances in classical computing may prove more robust for longer than currently anticipated. This could adversely affect the timing of any quantum advantage being achieved,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will depend upon our ability to expand, scale our operations and increase our sales capability. Even if the market in which we compete meets the size estimates and growth forecasted, our business could fail to grow at similar rates,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because of our unique technology, our customers will require particular support and service functions, some of which are not currently available. If we experience delays in adding such support capacity or servicing our customers efficiently, or experience unforeseen issues with the reliability of our technology, it could overburden our servicing and support capabilities. Similarly, increasing the number of our customers, products or services, for example by entering into government contracts and expanding to new geographies, has required and may continue to require us to rapidly increase the availability of these services. Failure to adequately support and service our customers may inhibit our growth and ability to expand computing targets globally.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our projections on which such targets are based will prove accurate or that the pace of growth will meet customer expectations. Failure to grow at rates similar to that of the quantum industry may adversely affect our operating results and ability to effectively compete within the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contracts with French governmental entities and the European Commission may subject us to regulatory and budgetary risks that could potentially impact our revenues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revenues may be derived from governmental contracts, including those with French and European public entities such as the European Commission.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contracts are subject to specific regulations, public procurement processes, and budgetary constraints applicable to government customers. Any reduction, delay, suspension, or termination of these contracts, whether due to shifts in government priorities, changes in public budgets, administrative decisions, or increased regulatory standards, could potentially have an adverse impact on our revenues and financial results, and may negatively affect our ability to secure future governmental projects. As a result, our revenues may fluctuate depending on the timing, renewal, and performance under these government contracts.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manage growth effectively.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For example, expansion of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upgrades to our facilities and systems is continual and ongoing, and we may not complete expansions and upgrades on terms originally anticipated, in a timely manner or at all, which could have a material impact on our business, financial condition or results of operations. Expansion will require significant cash investments and management resources and there is no guarantee that they will generate additional sales of our products or services, or that we will be able to avoid cost overruns or be able to hire additional personnel to support them. In addition, we will also need to ensure our compliance with regulatory requirements in various jurisdictions applicable to the sale, installation and servicing of our products. To manage the growth of our operations and personnel, we must establish appropriate and scalable operational and financial systems, procedures and controls and establish and maintain a qualified finance, administrative and operations staff. We may be unable to acquire the necessary capabilities and personnel required to manage growth or to identify, manage and exploit potential strategic relationships and market opportunities.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and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technical roadmap and plans for commercialization involve technology that is still under development and may not become available on the expected timeline or achieve the intended performance level.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and planned products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products and services and we may be unable to detect and fix any defects in our quantum computers or cloud services infrastructure prior to the sale of products or services to potential consumers. Our products may contain defects in design, manufacturing and/or delivery that may cause them to fail to perform as expected or may require repair, recalls and/or design changes. These could be affected by infrastructure downtime either within our own service or because of third-party service providers on which we are dependent. If our products or services fail to perform as expected, customers may delay orders or terminate further orders, each of which could adversely affect our sales and brand and could adversely affect our business, prospects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 quantum computers requires advances in both science and engineering, and we may not have the ability to deliver those advances. The markets in which we operate are still rapidly evolving and highly competitive and the impact of rapidly changing science and engineering technologies could have an impact on the delivery of our technical roadmap which means that future generations of products both in quantum and in gate model may be delayed or may never be delivered. If this happens, our technical roadmap may be delayed or may never be achieved, either of which would have a material impact on our business, financial condition 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quantum computing industry is competitive on a global scale and we may not be successful in competing in this industry or establishing and maintaining confidence in our long-term business prospects among current and future partners and customers. Additionally, competitive pressures may put pressure on our pricing, which may require us to reduce our pricing in order to provide competitively priced access to our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markets in which we operate are fragmented by approach, rapidly evolving and highly competitive. As the marketplace continues to mature and new technologies and competitors enter, we expect competition to intensify. Our current competitors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large, well-established tech companies that generally compete across our products, including Honeywell, Google, Microsoft, Amazon, and IBM;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large research organizations funded by sovereign nations such as China, Russia, Canada, Australia and the United Kingdom, and those in the European Union as of the date of this prospectus and we believe additional countries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less-established public and private companies with competing technology, including companies located outside the United States;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new or emerging entrants seeking to develop competing technologies.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competitors have substantially greater brand recognition, customer and other third-party relationships, and financial, technical and other resources, including an experienced sales force and sophisticated supply chain management, including major distribution agreements with consultants, system integrators and resellers. They may be able to respond more quickly and effectively than us to new or changing opportunities, technologies, standards, customer requirements and buying practices or to cross-subsidize their quantum offerings from their other higher margin operations. In addition, many countries (in addition to France)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may be able to compete with us by bundling their other products or making acquisitions in a way that does not allow us to offer a competitive solution. Following such potential consolidations, companies may create more compelling product offerings and be able to offer more attractive pricing options, making it more difficult for us to compete effectively. Smaller or early-stage companies may also prove to be significant competitors, particularly if they pursue competing solutions through collaborative arrangements with large and established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adoption of new technologies, such as AI and machine learning, and new market entrants, we expect competition to intensify in the future. For example, our competitors may more successfully incorporate AI into their products, gain or leverage superior access to certain AI technologies and achieve higher market acceptance of their AI solutions. In addition, as we continue to expand our focus into new use cases or other product offerings beyond software development teams, we expect competition to increase. Pricing pressures and increased competition generally could result in reduced sales, reduced margins, losses, or the failure of our products to achieve or maintain more widespread market acceptance, any of which could harm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competitors have extensive experience in developing and protecting intellectual property and may develop and patent processes or products earlier than us, obtain regulatory approvals for competing products more rapidly than we are able to and develop more effective and less expensive products or technologies that would render our products non-competitive or obsolete. We may also face intellectual property litigation risks if competitors assert patents or other intellectual property rights that overlap with our technologies or product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if we do not achieve our objectives in a timely manner, we may lose competitive positioning relative to other quantum computing companies, as well as competing technologies and alternative solutions. Because there are a large number of market participants, including certain sovereign nations (in addition to France), such as the United States,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all of these reasons, competition may negatively impact our ability to maintain and grow consumption of our platform or put downward pressure on our prices and gross margins, any of which could materially harm the reputation, business, results of operations, and financial condition of the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and services are dependent upon our relationships with various third-party providers, including cloud providers and suppliers of specialized components such as laser systems, and any disruption of or interference with our use of such third parties would adversely affect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upon third parties to operate our platform, third-party facilities to house some of our systems, third parties to provide our services, and specialized components sourced from third-party providers, including laser system providers, to operate our business. Our business is currently dependent upon our relationships with cloud providers (such as Google Cloud and Microsoft Azure) and producers of lasers. There are no assurances that we will be able to commercialize quantum computers from these relationships or without continued access to high-quality and reliable components and services from such providers.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disruption of or interference with our use of such third-party providers or locations, including extended outages, interruptions, or the unavailability of services on commercially reasonable terms, could adversely affect our business, results of operations and financial condition. We could experience delays in our ability to provide our solutions or run our business, increased expenses, interruptions in our ability to manage finances, and impairments in our processes for managing sales of our platform and supporting our customers until equivalent services, if available, are identified, obtained, and implemented. If we need to transition to alternative providers, we may face difficulties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securing providers on acceptable terms or with the capabilities required to support our systems. As we seek to scale production to higher volumes, our reliance on these third-party providers may increase, and any failure to effectively manage our supply chain could limit our ability to meet customer demand and achieve our growth objectives.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experienced, and expect that it may experience, interruptions, delays and outages in service and availability due to a variety of factors, including infrastructure changes, human or software errors, hosting disruptions and capacity constraints, which may result from technical failures, natural disasters, fraud or security attacks. If our security, or that of our hosting provider, is compromised, or if our platform or products are unavailable or users are unable to use our products within a reasonable amount of time or at all, our business, results of operations and financial condition could be adversely affected. Our ability to conduct security audits on our hosting provider is limited and our contracts do not contain strong indemnification terms in our favor. In some instances, we may not be able to identify or remedy the causes of these performance problems within a time period acceptable to customers, and it may become increasingly difficult to maintain and improve platform performance as products become more complex and usage increases. Any changes in service levels from our hosting providers may adversely affect our ability to meet customer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cloud providers and certain suppliers, including laser producers, have internal or potential competing technologies and significant resources. There is a risk that such providers could use their control over public clouds or essential components to embed competing capabilities, bundle competing products, provide unfavorable pricing, leverage customer relationships to exclude we from opportunities, or treat our customers differently with respect to terms, conditions or regulatory requirements. These providers may also acquire or partner with competing technology providers and thereby accelerate adoption of competing technologies. All of the foregoing could make it difficult or impossible for us to provide products and services that compete favorably.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rely on a limited number of specialized suppliers for critical components, including lasers used in our quantum processors. Partnerships with such suppliers could be terminated, may not scale as anticipated, or may not materialize at all. If our contractual and other business relationships with our third-party providers are terminated, suspended, or materially changed, including through the elimination of components or services on which we depend, we may be unable to provide our solutions at the same scale, experience significant delays, and incur additional expenses in transitioning to alternative providers.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foregoing circumstances may harm our reputation, cause customers to stop using our products, impair our ability to attract new customers and increase revenue from existing customers, subject us to financial penalties and liabilities under service level agreements, result in reduced use of our systems, increased expenses, and otherwise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Even if we are successful in developing quantum computing systems and executing our strategy, competitors in the industry may achieve technological breakthroughs which render our quantum computing systems obsolete or inferior to other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continued growth and success depend on our ability to innovate and develop quantum computing technology in a timely manner and effectively market these products. Without timely innovation and development, our quantum computing solutions could be rendered obsolete or less competitive by changing customer preferences or because of the introduction of a competitor’s newer technologies. We believe that many competing technologies will require a technological breakthrough in one or more problems related to science, fundamental physics or manufacturing. While it is uncertain whether such technological breakthroughs will occur in the next several years that does not preclude the possibility that such technological breakthroughs could eventually occur. Any technological breakthroughs which render our technology obsolete or inferior to other products, could have a material effect on our business, financial condition 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revenue projections are dependent on our ability to sell the QPUs in a cost-competitive fashion in the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 projections are dependent on our ability to sell the QPUs in a cost-competitive fashion in the market. These revenue projections are based on economies of scale due to demand for our computer systems, technological innovation and negotiations with third-party parts suppliers. If these revenue projections do not materialize, our quantum computing solution may become less competitive than those produced by our competitors, which could have a material effect on our business, financial condition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contracts typically involve delivery and commissioning lead times of approximately two years following contract execution and receipt of payment. As a result of this extended timeline between receipt of customer payment and the ultimate transfer of the equipment, these contracts contain a significant financing component, requiring the transaction price to be adjusted by discounting at the prevailing market interest rate. We may need to identify solutions that can act as consistent sources of revenue or change our pricing model from time to time. As the market for our platform matures, or as competitors introduce new solutions that compete with ours, we may be unable to attract potential customers at the same prices or based on the same pricing models that we intend to implement. Our assessments of competitive pricing may not be accurate and we could be underpricing or overpricing our platform and services. Our limited history means we do not have long-term market data on the optimal method of pricing our products and services and maximizing the opportunities they represent. In addition, if the offerings on our platform or our services change, we may need to revise our pricing strategies. Any such changes to our pricing strategies or our ability to efficiently price our offerings could adversely affect our business, results of operations and financial condition. In addition, as we continue to expand internationally, we also must determine the appropriate pricing strategy to enable us to compete effectively internationally. Pricing pressures and decisions could result in reduced sales, reduced margins, losses or the failure of our products and services to achieve or maintain more widespread market acceptance, any of which could negatively impact our overall business, results of operations and financial condition. Moreover, larger companies and public sector organizations, which are a primary focus of our direct sales efforts, may demand substantial price concessions. As a result, we may be required to price below our targets in the future, which could adversely affect our revenue, gross margin, profitability, cash flows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quantum computing industry is in its early stages and is volatile, and if it does not develop, if it develops slower than we expect, if it develops in a manner that does not require use of our products and services, if it encounters negative publicity or if our solution does not drive commercial engagement, the growth of our business will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for quantum computers is still rapidly evolving, characterized by rapidly changing technologies, competitive pricing and competitive factors, evolving government regulation and industry standards, and changing customer demands and behaviors. If the market for quantum computers in general does not develop as expected, or develops more slowly than expected, our business, prospects, financial condition and operating results could be harmed. We have focused our efforts on the optimization market with our quantum computers, and in the near term expect our business to grow from this market. If optimization does not require quantum computing or if other classical or quantum solutions perform better than our products and services, we could see a decrease in customer uptake and revenue. In addition, our growth and future demand for our products is highly dependent upon the adoption by developers and customers of quantum computing, as well as on our ability to demonstrate the value of quantum computing to our customers. Delays in future generations of our quantum computers or technical failures at other quantum computing companies could limit market acceptance of our solution. Negative publicity concerning our solution or the quantum computing industry as a whole could limit market acceptance of our solution. While we believe quantum computing will solve many large-scale problems, we do not yet have evidence that quantum computers will be able to do so and such problems may never be solvable by quantum computing technology. If our customers do not perceive the benefits of our solution, or if our solution does not drive customer engagement, then our market may not develop at all, or it may develop more slowly than us expect. If any of these events occur, it could have a material adverse effect on our business, financial condition or results of operations. If progress towards “quantum advantage” (as described below) slows relative to expectations, it could adversely impact revenues and customer confidence to continue to pay for testing, access and “quantum readiness.” This would harm or even eliminate revenues in the period before quantum advantage.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products and services fail to deliver customer value to a broader range of customers than classical approaches, our business, financial condition and future prospects may be harmed.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Quantum advantage</w:t>
      </w:r>
      <w:r>
        <w:rPr>
          <w:rFonts w:ascii="Times New Roman PS Std;serif" w:hAnsi="Times New Roman PS Std;serif"/>
          <w:b w:val="false"/>
          <w:i w:val="false"/>
          <w:caps w:val="false"/>
          <w:smallCaps w:val="false"/>
          <w:sz w:val="20"/>
        </w:rPr>
        <w:t xml:space="preserve">” means the moment when a quantum computer can compute faster than existing classical computers, while quantum supremacy is achieved once quantum computers are powerful enough to complete calculations that traditional supercomputers cannot perform at all. Broad quantum advantage is when quantum advantage is seen in many applications and developers prefer quantum computers to a traditional computer. No current quantum computers, including our quantum hardware, have reached a broad quantum advantage, and they may never reach such advantage. Achieving a broad quantum advantage will be critical to the success of any quantum computing company, including us. However, achieving quantum advantage would not necessarily lead to commercial viability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technology that accomplished such advantage, nor would it mean that such system could outperform classical computers in tasks other than the one used to determine a quantum advantage. Other companies, including some of our customers, are working on classical approaches that target similar use cases, increasing competition and risk of not capturing market share. As quantum computing technology continues to mature, broad quantum advantage may take decades to be realized, if ever. If we cannot develop quantum computers that have quantum advantage, customers may not continue to purchase our products and services. If customers decide to wait until broad quantum advantage is reached, this could impair the growth of our business. If other companies’ quantum computers reach a broad quantum advantage prior to the time our reaches such capabilities, it could lead to a loss of customers. If any of these events occur, it could have a material adverse effect on our business, financial condition or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quantum computing is a new form of computing, some customers may want to understand the details of how our products operate. However, because this is proprietary and trade secret information we cannot or may not want to share and we may lose customers as a result.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could suffer disruptions, outages, defects and other performance and quality problems with our quantum computing systems, our production technology partners or with the public cloud, data centers and internet infrastructure on which we rely. Real or perceived errors, disruptions, outages, defects and other performance and quality problems in our products and services could materially and adversely affect our operating results, financial condition and growth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depends on our quantum computing systems to be available. We have experienced, and may in the future further experience, disruptions, outages, defects and other performance and quality problems with our systems. We have also experienced, and may in the future further experience, disruptions, outages, defects and other performance and quality problems with the public cloud and internet infrastructure on which our systems rely. These problems can be caused by a variety of factors, including failed introductions of new functionality, vulnerabilities and defects in proprietary and open-source software, hardware components, human error or misconduct, capacity constraints, design limitations or denial of service attacks or other security-related incidents. We do not have a contractual right with our public cloud providers that compensates us for any losses due to availability interruptions in the public cloud.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real or perceived disruptions, outages, defects and other performance and quality problems with our quantum computing system or with the public cloud and internet infrastructure on which it relies, could result in reduced use of our systems, increased expenses, including service credit obligations, and harm to our brand and reputation, any of which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may not achieve market success, but will still require significant costs to develop.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it must continue to dedicate significant resources to our research and development efforts before knowing whether there will be market acceptance of our quantum computing technologies. Furthermore, the technology for our products is new, and the performance of these products is uncertain. Our quantum computing technologies could fail to attain sufficient market acceptance, if at all, for many reasons,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pricing and the perceived value of our systems relative to their cost;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in releasing quantum computers with sufficient performance and scale to the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produce products of consistent quality that offer functionality comparable or superior to existing or new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ability to produce products fit for their intended purpose;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failures to accurately predict market or customer demands;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defects, errors or failures in the design or performance of our quantum computing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negative publicity about the performance or effectiveness of our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strategic reaction of companies that market competitive products;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introduction or anticipated introduction of competing technology.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we are unable to effectively develop and market a quantum computing system to address these challenges and attain market acceptance, our business, operating results and financial condition may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highly dependent on our ability to attract and retain senior executive leadership and other key employees, such as quantum physicists, software engineers and other key technical employees, and on effective succession planning and the transfer of knowledge among key scientific, technical and managerial personnel. If we fail to retain talented, highly qualified senior management, engineers and other key employees or attract them when needed, or fail to ensure smooth leadership transitions, such failure could negatively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success is highly dependent on our ability to attract and retain our executive officers, key employees and other qualified personnel. As we build our brand and become more well known, there is increased risk that competitors or other companies may seek to hire our personnel. The loss of the services provided by these individuals will adversely impact the achievement of our business strategy. These individuals could leave our employment at any time, as they are “at will” employees. A loss of a member of senior management, or an engineer or other key employee particularly to a competitor, could also place us at a competitive disadvantage. Effective succession planning is also important to our long-term success. Failure to ensure effective transfer of knowledge and smooth transitions involving key employees could hinder the company’s strategic planning and execution.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success also depends on our continuing ability to attract, develop, motivate, and retain highly qualified and skilled employees. The market for highly skilled workers and leaders in the quantum computing industry is extremely competitive. In particular, hiring qualified personnel specializing in supply chain management, engineering and sales, as well as other technical staff and research and development personnel are critical to our business and the development of our quantum computing systems. Some of these professionals are hard to find and we may encounter significant competition in our efforts to hire them. Many of the other companies with which we compete for qualified personnel have greater financial and other resources than we do. The effective operation of our supply chain, including the acquisition of critical components and materials, the development of our quantum computing technologies, the commercialization of our quantum computing technologies and the effective operation of our managerial and operating systems all depend upon our ability to attract, train and retain qualified personnel in the aforementioned specialties. 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be otherwise unable to develop and grow our business as projected, or even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growth and success depend on our ability to sell effectively to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growth and success depend on our ability to sell effectively to our customers. Our potential customers tend to be large companies and public sector customers. Therefore, our future success will depend on our ability to effectively sell our products to such large companies and public sector customers. Sales to these end-customers involve risks that may not be present (or that are present to a lesser extent) with sales to smaller customers. These risks include, but are not limited to, (i) increased purchasing power and leverage held by public sector customers and large customers in negotiating contractual arrangements with us and (ii) longer sales cycles and the associated risk that substantial time and resources may be spent on a potential end-customer that elects not to purchase our solutions. Public sector customers and large organizations often undertake a significant evaluation process that results in a lengthy sales cycle. In addition, product purchases by public sector customers and large organizations are frequently subject to budget constraints, multiple approvals and unanticipated administrative, processing and other delays. In the future, we may be required to increase our marketing spend to sell effectively to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changes in government spending could have adverse consequences on our financial position, results of operations and business. Our anticipated future revenues from the government result from contracts awarded under various government programs. Significant reduction in government spending could have long-term consequences to our financial results and operations. In addition, changes in government priorities and requirements could impact the funding, or the timing of funding, of our programs, which could negatively impact our results of operations and financial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public sector customers and large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accurately estimate the future supply and demand for our quantum computers, which could result in a variety of inefficiencies in our business and hinder our ability to generate revenue. If we fail to accurately predict our manufacturing requirements, we could incur additional costs or experience delays.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difficult to predict our future revenues and appropriately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computers or our ability to develop, manufacture, and deliver quantum computers, or our profitability, if any,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quantum computers and related compute time to our potential customers could be delayed, which would harm our business, financial condition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scale our operations and meet customer demand for our QPUs is dependent on having adequate manufacturing facilities. Our current facilities may not provide sufficient space to support the production volumes required to accommodate a growth in demand. The assembly, calibration, and testing of QPUs requires specialized environments with precise environmental controls, and expanding or reconfiguring our facilities to increase production capacity may involve significant time, capital expenditure, and operational disruption. If we are unable to secure additional space on acceptable terms, or if there are delays in constructing, equipping, or qualifying new or expanded facilities, we may be unable to manufacture QPUs in the quantities or on the timelines required by our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deployment cost estimates are highly sensitive to a range of economic factors, and our ability to control or manage our costs may be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and operating costs for the foreseeable future, are difficult to project, inherently variable and are subject to significant change based on a variety of factors including regulatory oversight, operating agreements, supply chain availability, inflation and other factors. The commercial viability of our quantum computing systems depends in part on our ability to reduce the cost of developing, manufacturing and operating our quantum processing units and related infrastructure. Achieving such cost reductions will require continued technological improvements, industrialization efforts and process optimization, which may not occur as expected or within the anticipated timeframe. If we are unable to reduce these costs sufficiently, the adoption of our quantum computing solutions and our ability to achieve profitable operations could be affected. While we believe our cost estimates are reasonable, they may increase significantly through design maturity, when accounting for supply chain availability or as a result of other factors. To the extent cost reductions in these areas are not achieved within the expected timeframe or magnitude, our products, may not be cost competitive with alternative technologies, which may have a material adverse effect on our business prospects, financial condition, results of operations and cash flows and could harm our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 the future we may be required to record significant charges for impairment of our long-lived assets, other assets or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adverse change in market conditions, including a negative change to our position in the market or lack of growth in demand for our products could be considered to be an impairment triggering event. Such changes in the future could impact valuation assumptions relating to the recoverability of assets and may result in impairment charges to our long-lived assets, other assets or investments, which would have a negative impact on our operating results and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There are inherent uncertainties in management’s estimates, judgments and assumptions used in assessing recoverability of intangible and other long-lived assets. Any material changes in key assumptions, including failure to meet business plans, a deterioration in the U.S. and global financial markets, an increase in interest rates or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the cost of equity financing by market participants within the industry or other unanticipated events and circumstances, may decrease our projected cash flows or increase discount rates and could potentially result in an impairment charge. From time to time, we may be required to record a significant charge to earnings in our consolidated financial statements during the period in which any impairment of our long-lived assets is determined, which might have a materially adverse impact on our business operations and our financial position 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quantum computing systems may not be compatible with some or all industry-standard software and hardware in the future, which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quantum computing systems may not be compatible with some or all industry-standard software and hardware in the future, our business could be harmed. We have focused our efforts on creating quantum computing hardware, the operating system for such hardware and a suite of software programs that optimize execution of quantum algorithms on our hardware. If a proprietary (not open source) software toolset became the standard for quantum application development in the future by a competitor, usage of our hardware might be limited as a result which would have a negative impact on us. Similarly, if a piece of hardware became a necessary component for quantum computing (for instance, quantum networking) and we cannot integrate with it, the result might have a negative impact on us. If our customers are unable to achieve compatibility between other software and hardware and our hardware, it could impact our relationships with such customers or with customers, generally, if the incompatibility is more widespread. 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are subject to a variety of cybersecurity, physical hardware, and human-related security risks that could result in significant operational disruption, financial loss, legal liability, or reputational harm.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rely on information technology systems for the use, storage and transmission of sensitive and confidential information with respect to our customers, our customers’ customers, our employees and other third parties. Cyberattacks and other malicious internet-based activity continue to increase, and cloud-based platform providers of products and services, such as us, have been and are expected to continue to be targeted by sophisticated hackers and cybercriminals, including nation-state and nation-state-supported actors, who employ advanced techniques such as social engineering (phishing), automated attacks (including denial-of-service attacks), malicious code (including viruses and worms), ransomware, and employee theft or misuse, which may evade detection for extended periods. Due to our use of third-party cloud infrastructure, we depend in part on third-party security measures to protect against cybersecurity-related attacks. Despite efforts to create security barriers, it is not feasible for us to entirely mitigate these risks, as the techniques used to obtain unauthorized access to or compromise of systems change frequently. A breach of our networks, or those of our service providers or vendors, could result in unauthorized access to, use of, loss of, or unauthorized disclosure of sensitive and confidential information, including personal information, and disruption of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quantum processing units are highly complex and sensitive systems, and damage to a QPU, whether caused by a malicious actor or accident, could result in significant repair or replacement costs, project delays, and inability to meet customer commitments. Equipment failures affecting our information technology infrastructure could result in the unavailability of critical data and systems and disruption of operations, and potentially lead to the loss or unauthorized disclosure of confidential company or customer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our operations may be adversely affected by employee negligence, misconduct, or insider threats. Employees or contractors with access to sensitive systems, intellectual property, or confidential data may, whether intentionally or inadvertently, cause security breaches, damage to equipment, or unauthorized disclosure of proprietary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governments, including the French government and the European Commission, have enacted laws requiring companies to provide notice of data security incidents involving certain types of personal data, and some of our customers require notification of data security breaches. Security compromises experienced by us, our competitors, or our customers may lead to public disclosures and negative publicity, harm our reputation, erode confidence in our security measures, negatively affect our ability to attract new customers, encourage customers to restrict use of our platform or not renew subscriptions, or subject us to lawsuits, regulatory fines or other liability.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existing general liability insurance coverage and coverage for cyber liability or errors or omissions may not continue to be available on acceptable terms or in sufficient amounts to cover one or more large claims, and our insurer may deny coverage with respect to future claims. The successful assertion of one or more large claims that exceed available insurance coverage, or changes in our insurance policies, including premium increases or the imposition of large deductibles or co-insurance requirements, would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foregoing risks, individually or in combination, could materially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Unfavorable conditions in the quantum computing industry or the global economy, including uncertain geopolitical conditions, could limit our ability to grow our business and negatively affect our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Unfavorable conditions in the quantum computing industry or the global economy, could limit our ability to grow our business and negatively affect our results of operations. Our results of operations may vary based on the impact of changes in our industry or the global economy on the company or our customers and potential customers. Negative conditions in the general economy both in the United States, France and in other countries, including conditions resulting from changes in gross domestic product growth, inflation, financial and credit market fluctuations, tightening of the credit markets, including as a result of bank failures and any resulting issues in the broader U.S., European or global financial system, any higher interest rates, recessions, international trade relations, political turmoil, natural catastrophes, warfare, and terrorist attacks, could negatively impact our business, financial condition, results of operation, and liquidity or cause a decrease in business investments, including the progress on development of quantum technologies, and negatively affect the growth of our business. Similarly, geopolitical tensions in and around Ukraine, the Middle East and other areas of the world, including the conflict in the Middle East arising from strikes by Israel and the U.S. on Iran that began on February 28, 2026, the ensuing multi-week armed conflict involving retaliatory Iranian missile and drone strikes across the region, the resumption of the Israel-Hezbollah conflict in Lebanon, and the effective closure of the Strait of Hormuz, have created extreme volatility in the global capital markets and are expected to have further global economic consequences, including disruptions of the global supply chain and energy markets. Although a conditional ceasefire was announced on April 8, 2026, the situation remains unresolved. The ceasefire has been tested by further exchanges of fire, negotiations remain ongoing, and traffic through the Strait of Hormuz has not fully resumed. Any breakdown of the ceasefire, resumption of hostilities or further acts of war, terror, or responses to each could result in similar or increased impacts on the global economy. Increased inflation rates can adversely affect us by increasing our costs, including labor and employee benefit costs. In addition, higher inflation also could increase our customers’ operating costs, which could result in reduced budgets for our customers and potentially less demand for our quantum software products and the development of quantum technologies. Any significant increases in inflation and related increase in interest rates could have a material adverse effect on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occurrence of adverse events, cancellations of significant projects, delays in project timelines, adjustments in cost structures, and other negative developments announced by competitors could have an impact on our operations, financial performance, and future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newsworthy events in the quantum computing industry as a whole, including, but not limited to, the delay of major projects, inflated cost adjustments, fluctuations in product pricing strategies, cancellations of public offerings, customer withdrawals, or disruptions in supply chain may adversely affect our business in several ways,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Negative news or events associated with industry peers may lead to decreased investor confidence in the sector, which could impact the broader stock market performance of companies operating within the industry, including us. This could result in fluctuations or declines in our stock price irrespective of our internal performance.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events involving our competitors may alter the competitive landscape, affecting market share dynamics, pricing strategies, and overall positioning within the industry. This could impact our ability to retain or expand our market presence.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market dynamics influenced by competitors’ actions, such as inflated cost adjustments or potential cancellations, could have ripple effects on our financial stability and profitability, influencing our financial metrics and potentially impacting investor perceptions.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implement risk mitigation strategies, there is no guarantee that we will be insulated from the adverse effects of such events and the occurrence of any of these events could negatively impact our business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business, customers and partners could be adversely affected by climate change and related environmental sustainability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increasing and rapidly evolving concerns over the risks of climate change and related environmental sustainability matters. our operations, business, customers and partners could be adversely affected by climate change. The physical risks of climate change include rising average global temperatures, rising sea levels and an increase in the frequency and severity of extreme weather events and natural disasters. Such events and disasters could disrupt our operations or the operations of customers or third parties on which we rely and could result in market volatility. Additionally, we may face risks related to the transition to a low-carbon economy. We could experience increased expenses resulting from strategic planning, litigation and changes to our technology, operations, products and services, access to energy and water, as well as reputational harm as a result of negative public sentiment, regulatory scrutiny and reduced stakeholder confidence, due to our response to climate change or real or perceived vulnerability to climate change-related risks. Changes in consumer preferences, travel patterns and legal requirements could increase expenses or otherwise adversely impact our business, customers and partners.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actions and regulations, such as tariffs and trade protection measures, may limit our ability to obtain products from our suppliers or sell our products and services to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to trade policies, including tariff rates and customs duties, by the United States, France and other countries in which our suppliers are located could adversely impact our business. Tariffs or other trade restrictions imposed on components sourced from our suppliers could increase our costs and adversely affect our margins. In addition, tariffs imposed on our QPUs and other products entering the U.S. could require us to adjust our pricing, which may reduce demand or compress our margins. There is also a possibility of future tariffs, trade protection measures or other restrictions imposed on our products or on our customers by the U.S. or other countries that could have a material adverse effect on our business. We cannot predict what actions may ultimately be taken with respect to tariffs or international trade policies, and any such actions could materially and adversely affect our business, liquidity, financial condition and/or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reaction to new trade and geopolitical circumstances, the EU and its member states, including France, are already changing their traditionally open trade policies in order to provide more support to their sovereign interests (see the draft EU Industrialisation Accelerating Act although in its current version this project would not impact us). It is not possible to discard that such reorientation might become more aggressive in the future. In addition, should our technology become important for military and internal security purposes, the French government could envisage limiting the use of this technology in non-amicable countries, for instance via a strict application of export control rules. Such changes, if they materialize, could adversely affect our business, liquidity, financial conditions, and/or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Acquisitions, divestitures, strategic investments and strategic partnerships could disrupt our business and harm our financial condition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pursue growth opportunities by acquiring complementary businesses, solutions or technologies through strategic transactions, investments or partnerships. As an early-stage company, we may enter into certain of these transactions which, while potentially less profitable, may nevertheless be of strategic value and provide important opportunities for visibility and market positioning. The identification of suitable candidates for such transactions can be costly and time consuming and can distract our management team from our current operations. To the extent we choose to pursue such transactions, it may be unable to consummate them on favorable terms. The success of such transactions will depend, in part, on a variety of factors, including our ability to obtain debt or equity financing on acceptable terms and requisite governmental approvals. If we are unable to obtain such financing on terms favorable to it or at all, such transactions may adversely affect our liquidity and capital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strategic transaction might not strengthen our competitive position, may increase some of our risks, and may be viewed negatively by our customers, partners or investors. Even if we successfully complete a strategic transaction, it may not be able to effectively integrate the acquired business, technology, systems, control environment, solutions,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personnel or operations into our business. We may experience unexpected changes in how it is required to account for strategic transactions pursuant to IFRS and may not achieve the anticipated benefits of any strategic transaction. We cannot provide assurances that the anticipated strategic benefits of these transactions will be realized in the long term or at all. Further, we may fail to identify or assess the magnitude of certain liabilities, shortcomings or other circumstances prior to entering into such transactions. We may incur unexpected costs, claims or liabilities during the transaction or assume them from the acquired company, or may discover adverse conditions post-acquisition for which it has limited or no recourse. We may not obtain sufficient warranties, indemnities, insurance or other protections, which could result in unexpected litigation or regulatory exposure, unfavorable accounting treatment, unexpected increases in taxes, a loss of anticipated tax benefits or other adverse effects on our business, operating results or financial condition. Additionally, some warranties and indemnities may give rise to unexpected and significant liabilities.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facilities or operations could be damaged or adversely affected as a result of prolonged power outages, natural disasters and other catastrophic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facilities or operations could be adversely affected by events outside of our control, such as natural disasters, and other calamities. We cannot assure you that any backup systems will be adequate to protect it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delays in development and fabrication, the loss or corruption of data or malfunctions of software or hardware as well as adversely affect our ability to provide services.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use of generative artificial intelligence (“AI”) tools may pose risks to our proprietary software and systems and subject us to legal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generative AI tools in our business, and expect to use generative AI tools in the future, for various internal and external uses. Generative AI refers to deep-learning models that can generate new data, such as text, images and other content, by analyzing and emulating existing data. Advanced generative AI tools, which may produce content indistinguishable from that generated by humans, are a relatively novel development, with benefits, risks and liabilities still unknown. Recent decisions of governmental entities and courts (such as the U.S. Copyright Office, U.S. Patent and Trademark Office and U.S. Court of Appeals for the Federal Circuit) interpret U.S. copyright and patent law as limited to protecting works and inventions created by human authors and inventors, respectively. We are therefore unlikely to be able to obtain U.S. copyright or patent protection for works or inventions wholly created by a generative AI tool, and our ability to obtain U.S. copyright and patent protection for source code, text, images, inventions, or other materials, which are developed with some use of generative AI tools, may be limited, if available at all. Likewise, the availability of such IP protections in other countries is unclear. In addition, we may have little or no insight into and no control over the content and materials used by vendors to train these generative AI tools. There is ongoing litigation over whether the use of copyrighted materials to train the AI models used in these tools is lawful, and the impact of decisions in such litigation on our use of generative AI tools is unknown. Additionally, our use of third-party generative AI tools to develop source code, text, images, inventions, or other materials may expose us to greater risks than utilizing contracted human developers, as third-party generative AI vendors typically do not provide warranties or indemnities with respect to the output generated by such generative AI tools, and generative AI tools may also hallucinate, providing output that appears correct but is erroneous.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while we employ practices designed to evaluate, track and mitigate risk around our use of third-party generative AI tools, our use of such tools may inadvertently violate a third party’s rights, be non-compliant with the applicable terms of use or our other legal obligations, or result in a security or privacy risk or data leakage. Our use of this technology could result in additional compliance costs, regulatory investigations and actions, and lawsuits. For example, we may face claims from third parties claiming infringement of their intellectual property rights or mandatory compliance with open-source software or other license terms with respect to software or other materials or content we believed to be available for use and not subject to license terms or other third-party proprietary rights. Any of these claims could result in legal proceedings and could require us to purchase costly licenses, comply with the requirements of third-party licenses,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to generate code may also present additional security risks because the generated source code may contain security vulnerabilities. Additionally, the vendors of these generative AI tools may fail to comply with their contractual obligations to us regarding the confidentiality or security of any data or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inputs provided to such vendor or outputs generated by their generative AI tools. Our sensitive information or that of our customers could be leaked, disclosed, or revealed as a result of or in connection with our employees’, personnel’s or vendors’ use of third-party generative AI technologies.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funding and financial contributions from contracts with the public sector, including the governments in Europe, Canada and South Korea.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we have derived a portion of our revenue and financial contributions from the European, Canadian and South Korean governments and government agencies. We believe that the success and growth of our business for the foreseeable future will depend, in part, on our ability to win government contracts, grants and loans, and to attract repayable or non-repayable contributions from various government agencies.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grants are typically evaluated on an annual or project basis, based on prevailing local regulations and policies, and are thus non-recurring in nature. Consequently, there is no guarantee that we will continue receiving or benefiting from them in the future and it is also challenging for us to predict the amounts of future grants. Under the terms and conditions of the government grants received and anticipated to be received, in some cases, the Company is required to meet certain requirements such as achievement of employment targets and execution of committed investment expenditures. There can be no assurance that we will be able to fully satisfy these conditions or perform such obligations, and it is possible that regulatory authorities may discontinue such grants or require us to repay part or all of the government grants we previously received. Any reduction, cancellation, or repayment resulting from our failure to perform such obligations could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government customers and many government funding programs are subject to budgetary constraints and our continued performance under these contracts, or award of additional contracts from these agencies, could be jeopardized by spending reductions or budget cutbacks at these agencies.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significant decline in government expenditures generally, or with respect to programs for which we provide products and/or services, could adversely affect our business and prospects. our operating results may also be negatively impacted by other developments that affect these government programs generally,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government programs that are related to our products and services or the funding R&amp;D or related commercialization supports;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availability of, or ability to qualify for, R&amp;D tax credits, such as through the Government of Canada’s Scientific Research and Experimental Development program;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adoption of new laws or regulations relating to government contracting or changes to existing laws or regulations;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political or public support for security and defense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 sentiment regarding economic nationalism and protectionism;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or changes in the government appropriations and budget process;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ability to comply with existing and new or modified laws and regulations applicable to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uncertainties associated with the current global threat environment and other geo-political matters;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in the payment of our invoices by government payment offices.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developments and other factors could cause governmental agencies to reduce their purchases under existing contracts, to exercise their rights to terminate contracts at-will or to abstain from renewing contracts or entering into new contracts, any of which would cause our revenue to decline and could otherwise harm our business, financial condition and results of operations. Similarly, these developments and other factors could lead to a reduction in available funding under repayable or non-repayable contributions agreements or tax credits under public sector programs.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International Expansion and Future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our success depends, in part, on our ability to expand sales internationally, our business is susceptible to risks associated with international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maintain offices and/or have personnel in the United States, France, Saudi Arabia, Canada, South Korea and the United Kingdom and expect to continue to expand our international operations by developing our sales and operational presence in additional jurisdictions. We cannot be certain that the investment and resources required to establish and expand operations in other countries will produce desired levels of revenue or profitability, and our limited experience in marketing, selling and supporting our platform outside of our existing markets increases the risk that such expansion efforts will not be successful.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Conducting international operations subjects us to a variety of risks, some of which we have not generally faced in our existing markets,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of familiarity with, and the burdens of complying with, foreign laws, legal standards, privacy and cybersecurity requirements, tariffs and other barriers, and the risk of penalties to us, our customers or our employees if our practices are deemed non-compliant;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practical difficulties in enforcing intellectual property rights and reduced or varied protection for such rights in certain jurisdictions;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evolving legal and regulatory frameworks for privacy and cybersecurity, which may require the establishment of local data storage systems, additional data centers and network infrastructure, and locally compliant documentation, resulting in substantial expense and diversion of resources;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unexpected changes in regulatory requirements, taxes, trade laws, tariffs, export quotas, customs duties and other trade restrictions;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managing systems integrators, partners and international operations, including staffing challenges, differing employment laws and classification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or unexpected supply chain challenges or delays and differing technology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different pricing environments, longer sales cycles, extended payment cycles and difficulties in collecting accounts receivable;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financial reporting and accounting burdens and complexities;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costs associated with recruiting and retaining employees, including highly skilled personnel, and regulatory restrictions and legal costs associated with issuing equity compensation in certain jurisdictions;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political and regulatory changes, including restrictions on immigration and travel;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exchange rates and foreign exchange controls that may reduce the value of foreign revenue or increase operating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public health threats and geopolitical events, including tensions in and around Ukraine and the Middle East, including the escalation of conflict and hostilities in connection with strikes by Israel and the U.S. on Iran that began on February 28, 2026 and related retaliatory attacks, which could adversely affect our operations in the Middle East;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potentially adverse tax consequences, including value added tax regimes, transfer pricing requirements and restrictions on the repatriation of earnings;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permanent establishment risks and complexities related to payroll, tax and social security obligations;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protectionist laws and business practices that favor local businesses, price controls, and restrictions on the export or import of technology.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internationally also requires significant management attention and financial resources, and we may be unable to effectively engage with customers in international markets due to limited sales force capacity. Compliance with applicable laws and regulations increases the cost of doing business, and we may be unable to keep pace with regulatory changes. In addition, in many countries it is common for others to engage in business practices that are prohibited by our internal policies or applicable laws. Although we have implemented policies and procedures designed to ensure compliance, there can be no assurance that our employees, contractors, partners and agents will comply with such laws and policies. Violations could result in delays in revenue recognition, financial reporting misstatements, enforcement actions, reputational harm, disgorgement of profits, fines, civil and criminal penalties, damages, injunctions or restrictions on the importation or exportation of our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evaluate the performance of our subsidiaries and consider strategic alternatives, including restructuring or wind-down of certain operations. Our international operations are conducted through subsidiaries subject to the laws of multiple jurisdictions, including local insolvency and creditor protection regimes that differ from those in the United States. If any such subsidiary becomes subject to insolvency or similar proceedings, our ability to direct or influence the outcome may be limited, and such proceedings could give rise to claims by creditors or other third parties, result in costly litigation or regulatory actions, divert management’s attention and lead to adverse publicity. While we do not believe any current subsidiary insolvency proceeding will have a material adverse effect, there can be no assurance that such proceedings will be resolved without adverse consequences or that additional claims will not be asserted.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successfully manage these risks and challenges, our business, financial condition, revenues, results of operations and cash flows could be materially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and strategic partnerships in the Middle East expose us to heightened geopolitical, regulatory, and operational risks that could materially and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Middle East has experienced, and continues to experience, significant geopolitical instability, including the conflict arising from strikes by Israel and the U.S. on Iran that began on February 28, 2026, the ensuing multi-week armed conflict involving retaliatory Iranian strikes on U.S. military bases, Gulf states (including Saudi Arabia), and Israel, and the effective closure of the Strait of Hormuz. A conditional ceasefire was announced on April 8, 2026, however the situation remains fragile and unresolved. Any escalation or breakdown of the ceasefire, including the resumption or widening of armed conflict, the imposition of international sanctions, retaliatory military actions, acts of terrorism, or disruptions to critical infrastructure, could directly or indirectly affect our operations in Saudi Arabia, delay or impair the deployment and operation of our QPUs, and jeopardize our ability to perform under existing and possible future contractual arrangements. In particular, a widening of the conflict involving Iran and its proxies in the region could pose risks to the physical security of our assets and personnel in Saudi Arabia, disrupt supply chains for critical components needed to maintain and operate quantum computing systems, and create conditions that make it impractical to conduct business in the region.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international operations may subject us to greater than anticipated tax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taxes we may pay in different jurisdictions depends on the application of the tax laws of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any future intercompany arrangement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consolidated financial statements could fail to reflect adequate reserves to cover such a contingency. Similarly, a taxing authority could assert that we are subject to tax in a jurisdiction where we believe it has not established a taxable connection, often referred to as a “permanent establishment” under international tax treaties, and such an assertion, if successful, could increase our expected tax liability in one or more jurisdictions.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Litigation and Government Regulation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growth depends, in part, on our ability to penetrate multiple markets, in which we would be subject to additional regulatory burdens and other political, social and geographical risks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profitability will depend, in part, on our ability to commercialize our products and services, in markets in Europe, the United States and other countries, which would subject us to additional risks and uncertainties,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foreign currency exchange rate fluctuations and currency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economic weakness, including inflation and rising interest rates, or political instability in particular economies and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potentially adverse and/or unexpected tax consequences, including penalties due to the failure of tax planning or due to the challenge by tax authorities on the basis of transfer pricing and liabilities imposed from inconsistent enforcement;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burden of complying with complex and changing regulatory, tax, accounting and legal requirements, many of which vary between countries;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tariffs or other trade protection measures, trade barriers, import or export licensing requirements or other restrictive 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tax, employment, immigration and labor laws for employees living or traveling abroad;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workforce uncertainty in countries where labor unrest is common;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reduction or loss of protection of intellectual property rights in some foreign countries;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becoming subject to the different, complex and changing laws, regulations and court systems of multiple jurisdictions and compliance with a wide variety of foreign laws, treaties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and other risks associated with international operations may adversely affect our ability to attain or maintain profitable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(and our service providers’) actual or perceived failure to comply with stringent and evolving European and other foreign laws, regulations, rules, contractual obligations, policies, and other obligations related to data privacy and security could harm our reputation, subject us to fines and liability, and otherwise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service providers must comply with numerous foreign and domestic laws, regulations, guidance, industry standards, external and internal privacy and security policies, contractual requirements, and other obligations regarding privacy and the storing, sharing, use, processing, disclosure, security, and protection of personal information and other data, such as information that we collect. We strive to comply with all applicable requirements and obligations; however, new laws, policies, codes of conduct, and legal obligations may arise, continue to evolve, be interpreted and applied in a manner that is inconsistent from one jurisdiction to another, and conflict with one another. Any failure or perceived failure by us or third parties working on our behalf to comply with applicable laws and regulations, any privacy and data security obligations pursuant to contract or pursuant to our stated privacy or security policies, or obligations to third parties may result in governmental enforcement actions (including fines, penalties, judgments, settlements, and public censure), civil claims, litigation, damage to our reputation, and loss of goodwill, any of which could have an adverse effect on our business, operations, and financial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United States, federal, state, and local governments have enacted numerous data privacy and security laws, including data breach notification laws, personal data privacy laws, consumer protection laws, and other similar laws. Certain states can or may impose stricter requirements for processing certain personal data, including sensitive information, such as conducting data privacy impact assessments. These state laws allow for statutory fines for noncompliance. These developments further complicate compliance efforts and increase legal risk and compliance costs for us, the third parties upon whom we rely, and our customers. Our employees and personnel may use generative artificial intelligence, or AI, technologies to support their work, and the disclosure and use of personal data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generative AI technologies is subject to various privacy laws and other privacy obligations. Governments have passed and are likely to pass additional laws regulating generative AI. The use of this technology might result in additional compliance costs, regulatory investigations and actions, and lawsuits.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global data protection landscape is rapidly evolving, and we expect that there will continue to be new and proposed laws, regulations, and industry standards concerning privacy, data protection, and information security, and we cannot yet determine the impact that such future laws, regulations, and standards may have on our business. The EU General Data Protection Regulation (the “EU GDPR”) applies to the collection and processing of personal data by us. The EU GDPR has increased compliance burdens on we, such as requiring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processing personal data only for specified, explicit, and legitimate purposes for which personal data were collected;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a legal basis for processing personal data and creating obligations for controllers and processors to appoint data protection officers in certain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increasing transparency obligations to data subjects for controllers (including presentation of certain information in a concise, intelligible, and easily accessible form about how their personal data is used and their rights vis-à-vis that data and its use);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introducing the obligation to carry out so-called data protection impact assessments in certain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limitations on collection and retention of personal data through “data minimization” and “storage limitation” principles;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introducing obligations to honor increased rights for data subjects (such as rights for individuals to be “forgotten,” rights to data portability, and rights to object, etc., in certain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formalizing a heightened and codified standard of data subject consent;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obligations to implement certain technical and organizational safeguards to protect the security and confidentiality of personal data;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introducing the obligation to provide notice of certain personal data breaches to the relevant supervisory authority or authorities and affected individuals.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processing of sensitive personal data is subject to compliance with specific exceptions under the EU and UK GDPR which may impose heightened compliance burdens and is a topic of active interest among foreign regulators.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EU and UK GDPR also provide for more robust regulatory enforcement and greater penalties for noncompliance than previous data protection laws, including fines of up to 20 million euros under the EU GDPR, 17.5 million pound sterling under the UK GDPR, or in each case, 4% of global annual revenue for the preceding financial year, whichever is higher. In addition to administrative fines, a wide variety of other potential enforcement powers are available to competent supervisory authorities in respect of potential and suspected violations of the EU and UK GDPR, including extensive audit and inspection rights, and powers to order temporary or permanent bans on all or some processing of personal data carried out by non-compliant actors. The EU and UK GDPR also confer a private right of action on data subjects and consumer associations to lodge complaints with supervisory authorities, seek judicial remedies, and obtain compensation for damages resulting from violations of the EU and UK GDPR.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are generally believed to be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EEA standard contractual clauses, the UK’s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no lawful manner for us to transfer personal data from the EEA or UK, including, for example, obtaining individuals’ explicit consent to transfer their personal data from the EEA or UK to the United States or other countries, we will face increased exposure to regulatory actions, substantial fines, and injunctions against processing personal data from the EEA or United Kingdom. Additionally, other countries outside of Europe have enacted or are considering enacting similar cross-border data transfer restrictions and laws requiring local data residency, which could increase the cost and complexity of delivering our products and operating our business. The type of challenges we face in Europe will likely also arise in other jurisdictions that adopt laws similar in construction to the EU and UK GDPR or regulatory frameworks of equivalent complexity.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possible that the EU and UK GDPR or other laws and regulations relating to privacy and data protection may be interpreted and applied in a manner that is inconsistent from jurisdiction to jurisdiction or inconsistent with our current policies and practices, and compliance with such laws and regulations could require us to change our business practices and compliance procedures in a manner adverse to our business. We cannot guarantee that we are in compliance with all such applicable data protection laws and regulations, and we cannot be sure how these regulations will be interpreted, enforced, or applied to our operations. Furthermore, other jurisdictions outside the EEA are similarly introducing or enhancing privacy and data security laws, rules, and regulations, which could increase our compliance costs and the risks associated with noncompliance. It is possible that these laws may be interpreted and applied in a manner that is inconsistent with our practices, and our efforts to comply with the evolving data protection rules may be unsuccessful. We cannot guarantee that we, our third-party collaborators, or our vendors are in compliance with all applicable data protection and privacy laws and regulations as they are enforced now or as they evolve. Further, for example, our privacy policies may be insufficient to protect any personal information we collect, or may not comply with applicable laws. Our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actual or perceived failure to adequately comply with applicable laws and regulations relating to privacy and data protection, or to protect personal data and other data we process or maintain, could result in regulatory enforcement actions against us, including fines, penalties, orders that require a change in our practices, additional reporting requirements and/or oversight, and public censure, claims for damages by affected individuals, other lawsuits, or reputational damage.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other laws and regulations governing our international operations, including regulations administered by the authorities in the United States, France and the E.U., including applicable export control regulations, economic sanctions on countries and persons, and customs requirements and currency exchange regulations, collectively referred to as the trade control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Exports of our products must be made in compliance with trade control laws. In some cases, certain reporting requirements may need to be performed. In addition, these laws may restrict or prohibit altogether the supply of certain of our products or services to certain governments, persons, entities, countries, and territories. Changes in our products and services and changes in applicable trade control laws may create delays in the introduction or provision of our products and services in certain jurisdictions, prevent others from using our product services or, in some cases, prevent the export or import of our product services to certain countries, governments, or persons altogether. Any limitation on our ability to export or provide our products and services could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subject to anti-corruption laws in the countries where we operate, including the United States and France. The Foreign Corrupt Practices Act (“</w:t>
      </w:r>
      <w:r>
        <w:rPr>
          <w:rFonts w:ascii="Times New Roman PS Std;serif" w:hAnsi="Times New Roman PS Std;serif"/>
          <w:b/>
          <w:i w:val="false"/>
          <w:caps w:val="false"/>
          <w:smallCaps w:val="false"/>
          <w:sz w:val="20"/>
        </w:rPr>
        <w:t>FCPA</w:t>
      </w:r>
      <w:r>
        <w:rPr>
          <w:rFonts w:ascii="Times New Roman PS Std;serif" w:hAnsi="Times New Roman PS Std;serif"/>
          <w:b w:val="false"/>
          <w:i w:val="false"/>
          <w:caps w:val="false"/>
          <w:smallCaps w:val="false"/>
          <w:sz w:val="20"/>
        </w:rPr>
        <w:t xml:space="preserve">”) prohibits companies and their employees, third-party intermediaries, and other associated persons from paying, offering, authorizing payment, or providing anything of value, directly or indirectly, to any foreign official, political party, or candidate for the purpose of influencing any act or decision of a foreign entity in order to obtain or retain business. The FCPA also obligates companies whose securities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the FCPA is expensive and difficult, particularly in countries in which corruption is a recognized problem.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anti-corruption laws also prohibit acts of bribery and influence peddling: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433-1, 1°, of the French Criminal Code (bribery of domestic public officials);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433-1, 2°, and 433-2 of the French Criminal Code (influence peddling involving domestic public officials);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434-9 of the French Criminal Code (bribery of domestic judicial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434-9-1 of the French Criminal Code (influence peddling involving domestic judicial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Articles 435-1 and 435-3 of the French Criminal Code (bribery of foreign or international public officials);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435-9 of the French Criminal Code (bribery of foreign or international judicial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Articles 435-2, 435-4, 435-8 and 435-10 of the French Criminal Code (active and passive influence peddling involving foreign or international public officials and foreign or international judicial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Articles 445-1 and 445-2 of the French Criminal Code (bribery of private individuals);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French Law n°2016-1691 of December 9th, 2016 on Transparency, the Fight Against Corruption and the Modernization of the Economy (Sapin 2 Law), which provides for numerous new obligations for large companies such as the obligation (i) to draw up and adopt a code of conduct defining and illustrating the different types of behavior to be proscribed as being likely to characterize acts of corruption or influence peddling, (ii) to set up an internal warning system designed to enable the collections of reports from employees relating to the existence of conduct or situations contrary to the company’s code of conduct, (iii) to set up risk mapping designed to identify, analyze and prioritize the company’s exposure to external corruption risks, based on the sectors of activity and geographical areas in which the company operates, (iv) to set up procedures regarding risk mapping for assessing the situation of exposed third parties (such as customers, primary suppliers and intermediaries), (v) to set up accounting control procedures, whether internal or external, designed to ensure that the books, registers and accounts are not used to conceal acts of corruption or influence peddling, (vi) set up a training program for managers and staff most exposed to the risks of corruption and influence peddling; (vii) to set up a disciplinary system for sanctioning company employees in the event of a breach of the company’s code of conduct or a system for monitoring and evaluating the measures implemented.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might not be effective in ensuring compliance by our employees, representatives, contractors, business partners, and agents with all applicable anti-corruption laws, including the FCPA, the French anti-corruption laws, or other applicable legal requirements, including trade control laws. If we are not in compliance with the FCPA, the French anti-corruption laws,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the French anti-corruption laws, other anti-corruption laws or trade control laws by the United States or other authorities could also have an adverse impact on our reputation,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is exposed to risks associated with litigation, investigations and regulatory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in the future face legal, administrative and regulatory proceedings, claims, demands and/or investigations involving stockholder, consumer, competition, intellectual property, data privacy, employment, whistleblower, product liability and/or other issues relating to our business on a global basis. Litigation and regulatory proceedings are inherently uncertain, and adverse rulings could occur, including monetary damages, or an injunction stopping we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could be adversely affected by reviews, inquiries, or actions by the Committee on Foreign Investment in the United States (the “</w:t>
      </w:r>
      <w:r>
        <w:rPr>
          <w:rFonts w:ascii="Times New Roman PS Std;serif" w:hAnsi="Times New Roman PS Std;serif"/>
          <w:b/>
          <w:i w:val="false"/>
          <w:caps w:val="false"/>
          <w:smallCaps w:val="false"/>
          <w:sz w:val="20"/>
        </w:rPr>
        <w:t>CFIUS</w:t>
      </w:r>
      <w:r>
        <w:rPr>
          <w:rFonts w:ascii="Times New Roman PS Std;serif" w:hAnsi="Times New Roman PS Std;serif"/>
          <w:b w:val="false"/>
          <w:i w:val="false"/>
          <w:caps w:val="false"/>
          <w:smallCaps w:val="false"/>
          <w:sz w:val="20"/>
        </w:rPr>
        <w:t>”). The CFIUS has authority to review, condition, delay, or block certain transactions involving foreign investment in U.S. businesses for national security reasons, including transactions where a non-U.S. company acquires or has control over any U.S. operations. While our U.S. presence is currently limited and the risk of CFIUS intervention appears small, any such review or mitigation could result in delays, increased costs and restrictions on our business and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become subject to product liability claims, which could harm our financial condition and liquidity if we are not able to successfully defend or insure against such claims.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become subject to product liability claims, even those without merit, which could harm our business prospects, operating results, and financial condition. We may face inherent risk of exposure to claims in the event our quantum computers do not perform as expected or malfunction. A successful product liability claim against we could require us to pay a substantial monetary award. Moreover, a product liability claim could generate substantial negative publicity about our quantum computers and business and inhibit or prevent 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is forced to make a claim under our policy.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requirements relating to environmental and safety regulations and environmental remediation matters which could adversely affect our business, operating results and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numerous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manufacturing process will have hazards such as but not limited to hazardous materials, machines with moving parts, and high voltage and/or high current electrical systems typical of large manufacturing equipment and related safety incidents.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the company brand, finances, or ability to operate.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restrictions or delays in changes of control or significant investments due to French State influence and foreign investment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French foreign investment regulations, which require prior authorization from the French Ministry of the Economy for the acquisition of significant interests by non-French investors in companies operating in sensitive sectors, including quantum technology and defense. Bpifrance is a French public investment bank that is jointly controlled by the French government and </w:t>
      </w:r>
      <w:r>
        <w:rPr>
          <w:rFonts w:ascii="Times New Roman PS Std;serif" w:hAnsi="Times New Roman PS Std;serif"/>
          <w:b w:val="false"/>
          <w:i/>
          <w:caps w:val="false"/>
          <w:smallCaps w:val="false"/>
          <w:sz w:val="20"/>
        </w:rPr>
        <w:t xml:space="preserve">Caisse des Dépôts et Consignations </w:t>
      </w:r>
      <w:r>
        <w:rPr>
          <w:rFonts w:ascii="Times New Roman PS Std;serif" w:hAnsi="Times New Roman PS Std;serif"/>
          <w:b w:val="false"/>
          <w:i w:val="false"/>
          <w:caps w:val="false"/>
          <w:smallCaps w:val="false"/>
          <w:sz w:val="20"/>
        </w:rPr>
        <w:t>(Deposits and Consignments Fund controlled by the French parliament).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factors may restrict or delay future changes in control or significant acquisitions of our shares, or strategic transactions involving us, including mergers, acquisitions, or sales of substantial assets. If our shareholders fail to obtain required governmental approvals, certain transactions may be invalidated or impossible, and we could face regulatory sanctions or the loss of key governmental contracts. This regulatory environment may also deter potential investors or partners, limiting our strategic options and access to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experience delays or limitations in strategic decision-making due to governance structure and restrictions under French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strategic decisions, such as the transfer of all or most intellectual property, the sale of all or most significant assets, or changes to our jurisdiction of incorporation, are subject to the prior approval of the shareholders of the Company and of a strategic committee of Pasqal SAS which will be comprised of certain existing shareholders, including a representative of Bpifrance. The consent of the strategic committee (majority vote with the positive vote of Bpifrance) is also required for a range of ongoing operational matters, including, among other things, the development of any intellectual property by Pasqal SAS filed outside of France, the license of any intellectual property by Pasqal SAS including to any subsidiary of our Group, any transfer to be made pursuant to the Business Allocation Agreement, any amendment to the Business Allocation Agreement, any production of critical parts that are not one generation behind outside of France, any amendment to the definition of core hardware technical activities subject to a firewall, and the ratification of the appointment of Pasqal SAS’ President.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our operations are governed by a business allocation agreement between us and Pasqal SAS. This agreement establishes a framework for the segregation of activities within the Company, including the allocation of research and development and hardware activities to our subsidiaries. The business allocation agreement is intended to ensure compliance with French sovereignty and national security requirements, and any amendment to the business allocation agreement will require approval by the strategic committee of Pasqal SAS (including the positive vote of Bpifrance).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business allocation agreement provides that if we acquire an entity that carries out certain hardware protected activities (as defined in the business allocation agreement), such activities may continue to be carried out by the acquired company, subject to approval of the acquisition by the strategic committee. Furthermore, if our group contemplates acquiring an entity that carries out other protected activities, Pasqal SAS or a subsidiary of Pasqal SAS must complete such acquisition, unless the strategic committee authorizes the acquisition by us or another subsidiary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governance arrangements are intended to ensure alignment with French national interests and to provide oversight of sensitive activities. However, they may also limit our ability to respond quickly to market opportunities, implement strategic initiatives, or adapt our business model. The requirement for unanimous approval from shareholders or committees may result in delays or the inability to complete certain transactions if consensus cannot be reached. This could place us at a competitive disadvantage relative to companies with more flexible governance structures.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Bpifrance has the right, pursuant to the Bpifrance Board Representation Letter which was entered into on the Closing Date, to propose the appointment of one member to our Board (who will also be proposed for appointment to the Board’s nominating and governance committee) for so long as the BPI Investor beneficially owns any Ordinary Shares, which will provide Bpifrance with continued representation on, and influence over, our Board. For this purpose, the “BPI Investor” consists, collectively, of Bpifrance and its affiliated funds and managed or advised entities (including FPS Fonds Innovation Défense and FPS Bpifrance Innovation I, Compartiment B Large Venture 2), together with Caisse des Dépôts et Consignations, the French State and their respective affiliated entities. See “</w:t>
      </w:r>
      <w:r>
        <w:rPr>
          <w:rFonts w:ascii="Times New Roman PS Std;serif" w:hAnsi="Times New Roman PS Std;serif"/>
          <w:b w:val="false"/>
          <w:i/>
          <w:caps w:val="false"/>
          <w:smallCaps w:val="false"/>
          <w:sz w:val="20"/>
        </w:rPr>
        <w:t>Certain Relationships and Related Person Transactions — Bpifrance Board Representation Letter</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Contracts with the U.S. and French government and state agencies are subject to a number of challenges and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Contracts with U.S. and French government and state agencies are subject to a number of challenges and risks. The bidding process for government contracts can be highly competitive, expensive and time-consuming, often requiring significant up front time and expense without any assurance that these efforts will generate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must comply with both local and international laws and regulations relating to the formation, administration, and performance of contracts, which provide public sector customers rights, many of which are not typically found in commercial contracts. Any changes to the government regulations applicable to government contracts could affect our ability to enter into, or the profitability of, contracts with government entities.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other parties’ perceptions of our relationship with the U.S. and France could adversely affect our business prospects in jurisdictions outside the U.S. and France. Conversely, other parties’ perceptions of our relationship with foreign (non-U.S. governments and non-French) governments could adversely affect our business prospects with the U.S. or French governments.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our business, financial condition, results of operations, and growth prospects may be adversely affected by certain events or activities,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government fiscal or procurement policies, or decreases in government funding available for procurement of goods and services generally, or for our federal government contracts specifically;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U.S. and French government programs or applicable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in the grant of personnel security clearances to our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ability to maintain facility clearances required to perform on classified contracts for U.S. and French government agencies, as applicable;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political environment, including before or after a change to the leadership within the government administration, and any resulting uncertainty or changes in policy or priorities and resultant funding;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U.S. and French governments’ attitude towards us as a company or our technology;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appeals, disputes, or litigation relating to government procurement, including but not limited to bid protests by unsuccessful bidders on potential or actual awards of contracts to us or our partners by the government;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of new laws or regulations or changes to existing laws or regulations;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budgetary constraints, including automatic reductions as a result of “sequestration,” operating under continuing resolutions, disruptions from government shutdowns, or similar measures and constraints imposed by any lapses in appropriations for the federal government or certain of its departments and agencies;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influence by, or competition from, third parties with respect to pending, new, or existing contracts with government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legal obligations or political or social attitudes with respect to security or privacy issues;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delays or changes in the government appropriations or procurement processes, including as a result of events such as war, incidents of terrorism, natural disasters, and public health concerns;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or unexpected costs or unanticipated delays caused by other factors outside of our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such event or activity, among others, could cause governments and governmental agencies to delay or refrain from entering into contracts with us and/or purchasing our computers in the future, reduce the size or timing of payment with respect to our services to or purchases from existing or new government customers, or otherwise have an adverse effect on our business, results of operations, financial condition, and growth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penalties or lose French or other government contracts if, when required by the French government, it fails to protect classified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protect classified information, including information related to defense-related research and development and core hardware activities, as well as organize a segregation of this information within specific subsidiaries managed exclusively by French nationals with appropriate security clearances. This segregation would be designed to comply with French sovereignty and national security requirements, and to protect classified technologies and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unauthorized transfer of classified information, intellectual property, or other confidential information could result in regulatory penalties, the loss of governmental contracts, or reputational harm. In addition, these requirements may limit our flexibility to reorganize our operations, pursue international expansion, or enter into certain partnerships, which could adversely affect our growth prospects and operational efficiency.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risks and obligations arising from our international operations and commitments to invest in specific countries.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Operations in international markets may subject us to additional business, political, regulatory, operational, financial, and economic risks, any of which could increase our costs and hinder our growth. We have made, and may continue to make, formal commitments to governmental authorities to invest in certain countries, including the United States, Canada, Saudi Arabia, South Korea, France, and the United Kingdom as part of our growth strategy. These commitments may include obligations to establish operations, create jobs, or invest specified amounts of capital within agreed timeframes.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face risks associated with expanding into markets where we have limited or no experience or recognition. We may be unable to attract a sufficient number of customers, fail to anticipate competitive conditions, or face difficulties in operating effectively in these new markets. Due to the evolving and potentially conflicting regulatory environment for the quantum computing industry across the globe, we may also be required to comply with more stringent compliance requirements in overseas markets. Failure to timely comply with such requirements or to meet investment commitments could result in penalties, loss of governmental support, reputational harm, or the inability to secure future permits, licenses, or incentives in those jurisdictions. Complying with the laws and regulations of different countries, as well as fulfilling investment obligations, may also require us to invest more resources and incur higher costs, to assign or license partially or in whole intellectual property assets, which may impact our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Successful operations in international markets will also depend on a number of other factors, including our ability to (i) identify appropriate overseas markets,(ii) localize products and adapt them to local preferences, (iii) compete with local developers, publishers, and operators with existing market shares and experience, (iv) protect our intellectual property rights in multiple jurisdictions and manage the related costs, (v) identify appropriate partners and establish and maintain cooperative relationships with them, (vi) manage costs associated with doing business in foreign jurisdictions and (vii) address the impact of potential political, economic, and social instability.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and other risks associated with international activities and investment commitments could significantly affect our financial condition and 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restrictions and obligations arising from undertakings given to the Canadian government in connection with the acquisition of Aeponyx Enterprises Inc., which could limit our operational flexibility and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a series of undertakings and compliance obligations with the Canadian government in connection with our 2024 acquisition of Aeponyx Enterprises Inc. These undertakings and compliance obligations cover a range of areas, including, but not limited to, governance commitments regarding certain employment restrictions, prohibitions on collaboration involving Aeponyx personnel, products or technology (but allowing the incorporation of Aeponyx technology in our products), requirements regarding the location of work in Canada and the use of certain foundries, and obligations to continue the development of Aeponyx technology within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Compliance with these undertakings may limit our ability to reorganize our operations, relocate personnel or activities, enter into certain collaborations or partnerships or access Aeponyx technologies. Any failure to comply with these commitments could result in regulatory penalties, restrictions on future acquisitions or investments in Canada,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reputational harm. Furthermore, these obligations may require us to allocate resources to maintain operations and technology development in Canada, which could adversely affect our operational flexibility, cost structure, and ability to pursue strategic opportunities elsewhere.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investment regulations may restrict or delay future changes in control or significant acquisitions involving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under a group structure that is subject to French foreign investment regulations, particularly in sectors deemed sensitive such as quantum technology and defense. Under French law, the direct or indirect acquisition of a significant interest in us by non-EU persons or entities (or by multiple non-EU acquirers acting in concert) is subject to prior authorization by the French Ministry of the Economy. These regulations are intended to protect French national interests and may apply to any future takeover, significant acquisition of our shares, or change of control involving us, provided the acquirers are non-EU entities.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any attempt by a non-EU investor (or by multiple non-EU acquirers acting in concert) to acquire a controlling stake or to cross the threshold of 10% or more of the voting rights may be delayed, restricted, or even prohibited by the French authorities. If a non-EU investor acquires 10% or more of our voting rights without the prior authorization of the French Ministry of the Economy, such acquisition may be considered null and void under French law or such investor may lose its voting rights and/or rights to any dividends and be subject to fines or other criminal and civil liabilities. These restrictions may limit the ability of shareholders to freely transfer their shares or to effect a change of control, and may adversely affect the market value and liquidity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Depending on where it operates, we may, in the future, also be subject to foreign investment regulations in other countries, with comparable consequences.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Intellectual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obtain and maintain patent protection for our technology, or if the scope of the patent protection obtained is not sufficiently broad or robust, our competitors could develop and commercialize products and technology similar or identical to ours, and our ability to successfully commercialize our products and technology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depends, in large part, on our ability to obtain and maintain patent protection in the United States, France and other countries with respect to our technology. We have sought, and intends to seek, to protect our proprietary position by filing patent applications in Europe, the United States and other jurisdictions related to our technology that are important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pending and future patent applications may not result in patents being issued which protect our technology or products or which effectively prevent others from commercializing competitive technologies. Because patent applications in most countries are confidential for a period of time after filing, and some remain so until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be certain that our licensors were the first to file a patent application relating to any particular aspect of a product. Foreign patents may be subject also to opposition or comparable proceedings in the corresponding foreign patent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pursued or maintained, and may not pursue or maintain in the future, patent protection for our technologies in every country or territory in which we may sell our products. In addition, the laws of some countries do not protect intellectual property rights to the same extent as European laws and federal and state laws in the United States. Consequently, we may not be able to prevent third parties from infringing our patents in all countries outside the European Economic Area (the “</w:t>
      </w:r>
      <w:r>
        <w:rPr>
          <w:rFonts w:ascii="Times New Roman PS Std;serif" w:hAnsi="Times New Roman PS Std;serif"/>
          <w:b/>
          <w:i w:val="false"/>
          <w:caps w:val="false"/>
          <w:smallCaps w:val="false"/>
          <w:sz w:val="20"/>
        </w:rPr>
        <w:t>EEA</w:t>
      </w:r>
      <w:r>
        <w:rPr>
          <w:rFonts w:ascii="Times New Roman PS Std;serif" w:hAnsi="Times New Roman PS Std;serif"/>
          <w:b w:val="false"/>
          <w:i w:val="false"/>
          <w:caps w:val="false"/>
          <w:smallCaps w:val="false"/>
          <w:sz w:val="20"/>
        </w:rPr>
        <w:t>”) or the United States, or from selling or importing products that infringe our patents in and into the EEA or the United States or other jurisdictions.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the scope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 patent is not conclusive as to its inventorship, scope, validity, or enforceability, and our patents may be challenged in the courts or patent offices in EEA countries, the United States, and other jurisdictions. Such challenges may result in loss of exclusivity or in patent claims being narrowed, invalidated, or held unenforceable, which could limit our ability to stop others from using or commercializing similar or identical technology and products or could limit the duration of the patent protection of our technology and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although our employees are generally required to assign their intellectual property rights to us, there can be no assurance that such assignments will be effective or enforceable in all circumstances, or that former employees will not challenge the scope or validity of such assignments, which could result in disputes, litigation, or claims over the ownership of intellectual property developed during their employment.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our owned and in-licensed patents may be subject to a reservation of rights by one or more third parties. As a result, such third parties may have certain rights, including “march-in” rights, to such patent rights and technology. When new technologies are developed with such partners, they generally obtain certain rights in any resulting patents, including a nonexclusive license authorizing the party to use the invention for noncommercial purposes. These rights may permit the funding partner to disclose our confidential information to third parties and to exercise “march-in” rights to use or allow third parties to use our licensed technology. The funding partner can exercise its “march-in” rights if it determines that action is necessary because we fail to achieve practical application of the government-funded technology, to meet requirements of federal regulations, or to give preference to the United States or other country industry. In addition, our rights in such inventions may be subject to certain requirements to manufacture products embodying such inventions in the United States or other countries. Any exercise by the funding partners of such rights could harm our competitive position,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degree of future protection afforded by our intellectual property rights is uncertain because intellectual property rights have limitations and may not adequately protect our business. The following examples are illustrative: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others may be able to develop technologies that are similar to our technology platforms but that are not covered by the claims of any patents, should they issue, that we own or licenses;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might not have been the first to file patent applications covering certain of our technologies;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others may independently develop similar or alternative technologies or duplicate any of our technologies without infringing our intellectual property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possible that our pending patent applications will not lead to issued patents;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issued patents that we own or licenses may not provide us with any competitive advantages or may be held invalid or unenforceable as a result of legal challenges;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competitors might conduct research and development activities in the United States and other countries where we do not have patent rights, and then use the information learned from such activities to develop competitive products for sale in our major commercial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develop additional proprietary technologies that are patentable;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patents of others may have an adverse effect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Patent and Trademark Office (the “</w:t>
      </w:r>
      <w:r>
        <w:rPr>
          <w:rFonts w:ascii="Times New Roman PS Std;serif" w:hAnsi="Times New Roman PS Std;serif"/>
          <w:b/>
          <w:i w:val="false"/>
          <w:caps w:val="false"/>
          <w:smallCaps w:val="false"/>
          <w:sz w:val="20"/>
        </w:rPr>
        <w:t>USPTO</w:t>
      </w:r>
      <w:r>
        <w:rPr>
          <w:rFonts w:ascii="Times New Roman PS Std;serif" w:hAnsi="Times New Roman PS Std;serif"/>
          <w:b w:val="false"/>
          <w:i w:val="false"/>
          <w:caps w:val="false"/>
          <w:smallCaps w:val="false"/>
          <w:sz w:val="20"/>
        </w:rPr>
        <w:t xml:space="preserve">”) and various foreign governmental patent agencies require compliance with a number of procedural, documentary, fee payment, and other similar provisions during the patent application process. In addition, periodic maintenance fees, renewal fees, annuity fees and various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or technologies, we may not be able to use such patents and patent applications or stop a competitor from marketing technologies that are the same as or similar to our technology,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we fail to apply for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commercial success depends, in part, upon our ability and the ability of others with whom we may collaborate to develop, manufacture, market, and sell our current and any future products and technologies without infringing, misappropriating, or otherwise violating the proprietary rights and intellectual property of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 the future become party to, or be threatened with, adversarial proceedings or litigation regarding intellectual property rights with respect to our current and any future products and technology, including interference proceedings, post grant review and </w:t>
      </w:r>
      <w:r>
        <w:rPr>
          <w:rFonts w:ascii="Times New Roman PS Std;serif" w:hAnsi="Times New Roman PS Std;serif"/>
          <w:b w:val="false"/>
          <w:i/>
          <w:caps w:val="false"/>
          <w:smallCaps w:val="false"/>
          <w:sz w:val="20"/>
        </w:rPr>
        <w:t>inter partes</w:t>
      </w:r>
      <w:r>
        <w:rPr>
          <w:rFonts w:ascii="Times New Roman PS Std;serif" w:hAnsi="Times New Roman PS Std;serif"/>
          <w:b w:val="false"/>
          <w:i w:val="false"/>
          <w:caps w:val="false"/>
          <w:smallCaps w:val="false"/>
          <w:sz w:val="20"/>
        </w:rPr>
        <w:t> review before the USPTO. Foreign patents may be subject also to opposition or comparable proceedings in the corresponding foreign patent office.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successfully challenge the validity of any such United States patent in federal court, we would need to overcome a presumption of validity. As this is a high burden and requires us to present clear and convincing evidence as to the invalidity of any such United States patent claim, there is no assurance that a court of competent jurisdiction would invalidate the claims of any such United States patent. Moreover, given the vast number of patents in our field of technology, we cannot be certain that we do not infringe existing patents or that we will not infringe patents that may be granted in the future. While we may in the future decide to initiate proceedings to challenge the validity of these or other patents in the future, we may be unsuccessful, and courts or patent offices in Europe, the United States, and other jurisdictions could uphold the validity of any such patent. Even if we are successful in obtaining a first-instance judgement from a court or patent office that such patents are invalid, such judgements may be subject to appeal procedures which suspend revocation of the patent until a final appeal judgment is reached. This may result in many years of uncertainty and could ultimately lead to reversal of the original judgment and the patent being upheld. Furthermore, because patent applications can take many years to issue and are typically confidential for 18 months or more after filing, and because pending patent claims can be revised before issuance, there may be applications now pending which may later result in issued patents that may be infringed by the manufacture, use, or sale of our technology. Regardless of when filed, we may fail to identify relevant third-party patents or patent applications, or we may incorrectly conclude that a third-party patent is invalid or not infringed by our products or activities. If a patent holder believes that our products or technology platform infringes its patent, the patent holder may sue us even if we have received patent protection for our technology. Moreover, we may face patent infringement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claims from nonpracticing entities that have no relevant product revenue and against whom our own patent portfolio may thus have no deterrent effect. If a patent infringement suit were threatened or brought against us, we could be forced to stop or delay research, development, manufacturing, or sales of the product that is the subject of the actual or threatened suit.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found to infringe a third party’s valid and enforceable intellectual property rights, we could be required to obtain a license from such third party to continue developing, manufacturing, and marketing our product(s) and technology. Under any such license, we would most likely be required to pay various types of fees, milestones, royalties, or other amounts. Moreover, we may not be able to obtain any required license on commercially reasonable terms or at all, and if such an instance arises, our ability to commercialize our products may be impaired or delayed, which could in turn significantly harm our business. Parties making claims against us may also seek and obtain injunctive or other equitable relief, which could effectively block our ability to further develop and commercialize our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any return on our investment at all. If we are unable to successfully obtain rights to required third-party intellectual property rights or maintain the existing intellectual property rights we have, we may have to abandon development of our products and technologies,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We may also have to redesign our products, which may not be commercially or technically feasible or may require substantial time and expense.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Claims that we have misappropriated the confidential information or trade secrets of third parties could have a similar negative impact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of our intellectual property rights, know-how, and technologies have been licensed from, co-owned with, or developed in collaboration with universities, research institutions, consortium partners, acquisition targets, and other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origins in academic research mean that aspects of our quantum computing technology may be subject to license agreements, co-ownership arrangements, or other contractual terms that impose limitations on our ability to exclusively use, sublicense, or commercialize such intellectual property. The terms of these arrangements may restrict our freedom to operate in certain fields of use, geographies, or applications, or may grant the counterparty rights to use or license the same or related intellectual property in ways that could be competitive with our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Our platform and software stack rely in part on open-source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software components, which are licensed under various open-source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license terms and the use of open-source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software presents a number of risks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Certain open-source licenses require that any software that incorporates or is derived from open-source components be made available in source code form and be distributed under the same or similar license terms. If we have inadvertently incorporated open-source software into our proprietary software in a manner that triggers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we could be required to disclose portions of our proprietary source code, license our proprietary software on unfavorable terms, or re-engineer our software stack to eliminate the open-source components, any of which could be costly, time-consuming, and disruptive to our operations. Our compliance efforts with respect to open-source license terms may not always be sufficient, and the interpretation of certain open-source license provisions remains subject to legal uncertainty. In addition, open-source software is developed by distributed communities of contributors and may contain security vulnerabilities, bugs, or defects that are not promptly identified or remediated. Because we do not control the development or maintenance of open-source software it utilizes, there can be no assurance that such software will continue to be maintained, updated, or supported by the relevant community, or that security vulnerabilities will be addressed in a timely manner. Furthermore, the terms of open-source licenses may be changed or reinterpreted in ways that impose additional obligations or restrictions on our use of such software, and new versions of open-source components may be released under different or more restrictive license terms. Any of the foregoing could require us to devote significant resources to re-engineering portions of our software stack, delay product development or releases, expose us to intellectual property claims or litigation, or otherwise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involved in lawsuits to protect or enforce our patents or our other intellectual property rights, which could be expensive, time-consuming, and unsuccessful.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may infringe, misappropriate, or otherwise violate our patents, or our other intellectual property rights, or may allege that we have infringed on their intellectual property rights. To counter infringement or unauthorized use or defend against such claims, we may be required to file legal claims, which can be expensive and time-consuming and are likely to divert significant resources from our core business, including distracting our technical and management personnel from their normal responsibilities.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similar foreign authorities or made a materially misleading statement during prosecution. Third parties may also raise similar validity claims before the USPTO in post-grant proceedings such as </w:t>
      </w:r>
      <w:r>
        <w:rPr>
          <w:rFonts w:ascii="Times New Roman PS Std;serif" w:hAnsi="Times New Roman PS Std;serif"/>
          <w:b w:val="false"/>
          <w:i/>
          <w:caps w:val="false"/>
          <w:smallCaps w:val="false"/>
          <w:sz w:val="20"/>
        </w:rPr>
        <w:t>exparte</w:t>
      </w:r>
      <w:r>
        <w:rPr>
          <w:rFonts w:ascii="Times New Roman PS Std;serif" w:hAnsi="Times New Roman PS Std;serif"/>
          <w:b w:val="false"/>
          <w:i w:val="false"/>
          <w:caps w:val="false"/>
          <w:smallCaps w:val="false"/>
          <w:sz w:val="20"/>
        </w:rPr>
        <w:t> reexaminations, </w:t>
      </w:r>
      <w:r>
        <w:rPr>
          <w:rFonts w:ascii="Times New Roman PS Std;serif" w:hAnsi="Times New Roman PS Std;serif"/>
          <w:b w:val="false"/>
          <w:i/>
          <w:caps w:val="false"/>
          <w:smallCaps w:val="false"/>
          <w:sz w:val="20"/>
        </w:rPr>
        <w:t>inter partes</w:t>
      </w:r>
      <w:r>
        <w:rPr>
          <w:rFonts w:ascii="Times New Roman PS Std;serif" w:hAnsi="Times New Roman PS Std;serif"/>
          <w:b w:val="false"/>
          <w:i w:val="false"/>
          <w:caps w:val="false"/>
          <w:smallCaps w:val="false"/>
          <w:sz w:val="20"/>
        </w:rPr>
        <w:t>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products. Such a loss of patent protection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successfully challenging our intellectual property rights. Uncertainties resulting from the initiation and continuation of patent litigation or other proceedings could have an adverse effect on our ability to compete in the marketplace.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Developments in patent law could have a negative impact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either the patent laws or interpretation of the patent laws could increase the uncertainties and costs surrounding the prosecution of patent applications and the enforcement or defense of issued patents. For example, from time to time, the United States Congress, the USPTO, or similar foreign authorities may change the standards of patentability, and any such changes could have a negative impact on our business. In addition, the Leahy-Smith America Invents Act, or the America Invents Act, which was signed into law in September 2011, includes a number of significant changes to United States patent law. These changes include a transition from a “first-to-invent” system to a “first-to-file” system, changes to the way issued patents are challenged, and changes to the way patent applications are disputed during the examination process, such as allowing third-party submission of prior art to the USPTO during patent prosecution. These changes may favor larger and more established companies that have greater resources to devote to patent application filing and prosecution. Under a first-to-file system, assuming that other requirements for patentability are met, the first inventor to file a patent application generally will be entitled to the patent on an invention regardless of whether another inventor made the invention earlier. The USPTO has developed new regulations and procedures to govern the full implementation of the America Invents Act, and many of the substantive changes to patent law associated with the America Invents Act, and, in particular, the first-to-file provisions, became effective in March 2013. Substantive changes to patent law associated with the America Invents Act, or any subsequent United States legislation regarding patents, may affect our ability to obtain patents, and if obtained, to enforce or defend them. Accordingly, it is not clear what, if any, impact the America Invents Act will have on the cost of prosecuting our United States patent applications, our ability to obtain United States patents based on our discoveries, and our ability to enforce or defend any patents that may issue from our patent applications, all of which could have a material adverse effect on our business, prospects,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changes to or different interpretations of patent laws in the United States and other countries may permit others to use our or our partners’ discoveries or to develop and commercialize our technology and products without providing any compensation to us, or may limit the number of patents or claims we can obtain. Recent United States Supreme Court rulings have narrowed the scope of United States patent protection available in certain circumstances and weakened the rights of patent owners in certain situations. This combination of events has created uncertainty with respect to the validity and enforceability of patents, once obtained. Depending on future actions by the United States Congress, the federal courts, the USPTO, as well as similar bodies in other countries, the laws and regulations governing patents could change in unpredictable ways that could have a material adverse effect on our existing patent portfolio and our ability to protect and enforce our intellectual property in the future, which could have a material adverse effect on our business, prospects,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Investment in a French Company and our Status as a Foreign Private Issuer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report and we will continue to report financial results under IFRS, which differs in certain significant respect from U.S.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report and we will continue to report financial results under IFRS as issued by the IASB. There are and there may in the future be certain significant material differences between IFRS and U.S. GAAP. As a result, financial information and reported earnings of us for historical or future periods could be significantly different if they were prepared in accordance with U.S. GAAP. In addition, we are not required to and do not intend to provide a reconciliation between IFRS and U.S. GAAP as a foreign private issuer. As a result, you may not be able to meaningfully compare our financial statements under IFRS with those of companies that prepare financial statements under U.S. GAAP. Please see the section entitled “</w:t>
      </w:r>
      <w:r>
        <w:rPr>
          <w:rFonts w:ascii="Times New Roman PS Std;serif" w:hAnsi="Times New Roman PS Std;serif"/>
          <w:b w:val="false"/>
          <w:i/>
          <w:caps w:val="false"/>
          <w:smallCaps w:val="false"/>
          <w:sz w:val="20"/>
        </w:rPr>
        <w:t>Risks Related to our Foreign Private Issuer Status</w:t>
      </w:r>
      <w:r>
        <w:rPr>
          <w:rFonts w:ascii="Times New Roman PS Std;serif" w:hAnsi="Times New Roman PS Std;serif"/>
          <w:b w:val="false"/>
          <w:i w:val="false"/>
          <w:caps w:val="false"/>
          <w:smallCaps w:val="false"/>
          <w:sz w:val="20"/>
        </w:rPr>
        <w:t>” for more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société anonyme formed under the laws of the Republic of France, we are permitted to adopt certain home country practices in relation to corporate governance matters that differ significantly from the Nasdaq corporate governance listing standards applicable to domestic U.S. companies. These practices may afford less protection to shareholders than they would enjoy if we complied fully with the Nasdaq corporate governance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 foreign private issuer as such term is defined in Rule 405 under the Securities Act and are a </w:t>
      </w:r>
      <w:r>
        <w:rPr>
          <w:rFonts w:ascii="Times New Roman PS Std;serif" w:hAnsi="Times New Roman PS Std;serif"/>
          <w:b w:val="false"/>
          <w:i/>
          <w:caps w:val="false"/>
          <w:smallCaps w:val="false"/>
          <w:sz w:val="20"/>
        </w:rPr>
        <w:t xml:space="preserve">société anonyme </w:t>
      </w:r>
      <w:r>
        <w:rPr>
          <w:rFonts w:ascii="Times New Roman PS Std;serif" w:hAnsi="Times New Roman PS Std;serif"/>
          <w:b w:val="false"/>
          <w:i w:val="false"/>
          <w:caps w:val="false"/>
          <w:smallCaps w:val="false"/>
          <w:sz w:val="20"/>
        </w:rPr>
        <w:t>formed under the laws of the Republic of France, and, are listed on the Nasdaq. The Nasdaq listing rules permit a foreign private issuer like us to follow the corporate governance practices of our home country. Certain corporate governance practices in France, which is our home country, may differ significantly from the Nasdaq corporate governance listing standards applicable to domestic U.S.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other things, we are not required to have: (i) a majority of the board of directors consisting of independent directors; (ii) a compensation committee consisting of independent directors; (iii) a nominating and corporate governance committee consisting of independent directors; or (iv) regularly scheduled executive sessions with only independent directors each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not required and as may be changed from time to time, we have a majority-independent board of directors and a compensation committee consisting of independent directors. Subject to the foregoing, we intend to rely on the exemptions listed above. As a result, you may not be provided with the benefits of certain corporate governance requirements of the Nasdaq applicable to U.S. domestic public companies.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we are organized under the laws of France, the rights of our shareholders may differ from the rights they would have as shareholders of a United States corporation, which could adversely impact trading in Ordinary Shares and our ability to conduct equity financings, and our shareholders may face difficulties in protecting their interests, their ability to protect their rights through the U.S. federal courts may be limited and investors may be unable to recover in civil proceedings for U.S. securities laws violations.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affairs are governed by our Articles of Association and the Board Internal Regulations and the laws of the Republic of France, including the French Commercial Code (</w:t>
      </w:r>
      <w:r>
        <w:rPr>
          <w:rFonts w:ascii="Times New Roman PS Std;serif" w:hAnsi="Times New Roman PS Std;serif"/>
          <w:b w:val="false"/>
          <w:i/>
          <w:caps w:val="false"/>
          <w:smallCaps w:val="false"/>
          <w:sz w:val="20"/>
        </w:rPr>
        <w:t>Code de commerce</w:t>
      </w:r>
      <w:r>
        <w:rPr>
          <w:rFonts w:ascii="Times New Roman PS Std;serif" w:hAnsi="Times New Roman PS Std;serif"/>
          <w:b w:val="false"/>
          <w:i w:val="false"/>
          <w:caps w:val="false"/>
          <w:smallCaps w:val="false"/>
          <w:sz w:val="20"/>
        </w:rPr>
        <w:t>). The rights of our shareholders and the responsibilities of our directors and officers under French law are different from those applicable to a corporation incorporated in the United States. For example, under Delaware law, the board of directors of a Delaware corporation bears the ultimate responsibility for managing the business and affairs of a corporation. In discharging this function, directors of a Delaware corporation owe fiduciary duties of care and loyalty to the corporation and our shareholders. French law similarly imposes duties on directors of a French company, including a duty to act in good faith and to exercise the care, diligence, and skill that a reasonably prudent person would exercise in comparable circumstances. However, French directors must act in the “corporate interest” (</w:t>
      </w:r>
      <w:r>
        <w:rPr>
          <w:rFonts w:ascii="Times New Roman PS Std;serif" w:hAnsi="Times New Roman PS Std;serif"/>
          <w:b w:val="false"/>
          <w:i/>
          <w:caps w:val="false"/>
          <w:smallCaps w:val="false"/>
          <w:sz w:val="20"/>
        </w:rPr>
        <w:t>intérêt social</w:t>
      </w:r>
      <w:r>
        <w:rPr>
          <w:rFonts w:ascii="Times New Roman PS Std;serif" w:hAnsi="Times New Roman PS Std;serif"/>
          <w:b w:val="false"/>
          <w:i w:val="false"/>
          <w:caps w:val="false"/>
          <w:smallCaps w:val="false"/>
          <w:sz w:val="20"/>
        </w:rPr>
        <w:t xml:space="preserve">). Additionally, under Delaware law, a shareholder may bring a derivative action on behalf of a company to enforce a company’s rights. French law also permits derivative-type actions. Pursuant to Article L.225-252 of the French Commercial Code, individual shareholders or groups of shareholders may bring an </w:t>
      </w:r>
      <w:r>
        <w:rPr>
          <w:rFonts w:ascii="Times New Roman PS Std;serif" w:hAnsi="Times New Roman PS Std;serif"/>
          <w:b w:val="false"/>
          <w:i/>
          <w:caps w:val="false"/>
          <w:smallCaps w:val="false"/>
          <w:sz w:val="20"/>
        </w:rPr>
        <w:t>action sociale ut singuli</w:t>
      </w:r>
      <w:r>
        <w:rPr>
          <w:rFonts w:ascii="Times New Roman PS Std;serif" w:hAnsi="Times New Roman PS Std;serif"/>
          <w:b w:val="false"/>
          <w:i w:val="false"/>
          <w:caps w:val="false"/>
          <w:smallCaps w:val="false"/>
          <w:sz w:val="20"/>
        </w:rPr>
        <w:t xml:space="preserve"> on behalf of the company to seek damages from directors for harm caused to the company. However, the procedural framework and scope of such actions differ from those under Delaware law. For claims other than those against directors, the decision to initiate legal proceedings generally lies with the company’s legal representative (e.g., the </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 xml:space="preserve"> in a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disclosure requirements applicable to us under French and European Union law differ from those applicable to U.S. issuers under the Exchange Act. While French and EU regulations, including the Transparency Directive, the Market Abuse Regulation and the Prospectus Regulation, impose substantial disclosure obligations on listed companies, the specific content, timing and format of such disclosures differ from the securities laws and regulations in the U.S., and there may be less publicly available information about us than is regularly published by or about U.S. issuers. In addition, while French law provides certain protections for minority shareholders, including mandatory tender offer rules, approval procedures for related-party transactions and judicial remedies against abuse of majority power (</w:t>
      </w:r>
      <w:r>
        <w:rPr>
          <w:rFonts w:ascii="Times New Roman PS Std;serif" w:hAnsi="Times New Roman PS Std;serif"/>
          <w:b w:val="false"/>
          <w:i/>
          <w:caps w:val="false"/>
          <w:smallCaps w:val="false"/>
          <w:sz w:val="20"/>
        </w:rPr>
        <w:t>abus de majorité</w:t>
      </w:r>
      <w:r>
        <w:rPr>
          <w:rFonts w:ascii="Times New Roman PS Std;serif" w:hAnsi="Times New Roman PS Std;serif"/>
          <w:b w:val="false"/>
          <w:i w:val="false"/>
          <w:caps w:val="false"/>
          <w:smallCaps w:val="false"/>
          <w:sz w:val="20"/>
        </w:rPr>
        <w:t>), these protections operate differently from, and in some respects may be less extensive than, those available under U.S. state corporation laws. Similarly, enforcement mechanisms and the availability of private litigation remedies differ between the two jurisdictions, with French law relying more on regulatory oversight by the AMF than on private securities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Judgments of U.S. courts, including those predicated on the civil liability provisions of the federal securities laws of the United States, may not be enforceable in French courts. As a result, holders of securities who obtain a judgment against us in the United States may not be able to require us to pay the amount of the judgment. It may not be possible for holders to effect service of process within the United States upon our directors and officers or to enforce against these persons, or us, judgments of United States courts predicated upon civil liability provisions of the federal securities laws of the United States. In addition, shareholders of French companies may not have standing to initiate a shareholders derivative action in a federal court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Therefore, our shareholders may have more difficulty in protecting their interests in connection with actions taken by our directors, officers or principal shareholders than they would as shareholders of a corporation incorporated in the United States. As a result of these differences, our shareholders may have more difficulty protecting their interests than they would as shareholders of a U.S. issuer.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in France could be adversely affected by complex labor laws, union activity and potential labor disruptions.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significant number of permanent employees in France, where labor laws provide employees with extensive protections, including rights to collective bargaining, consultation through works councils, and legal support through union representation.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in France are subject to complex labor regulations, and we may be required to consult with or obtain the opinion of employee representative bodies before implementing material operational changes. In addition, strikes and other labor disruptions could adversely impact our operations, delay strategic initiatives, and increase costs. Any failure to comply with French labor laws or manage labor relations effectively could materially and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Currency exchange rate fluctuations present a risk to our operations and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based in France expose us to fluctuations in exchange rates between the Euro and other major currencies, notably the U.S. dollar. Given the volatile nature of currency markets, these fluctuations may significantly impact our results. For example, an appreciation of the Euro against the U.S. dollar could increase the relative price of our services for clients outside the Eurozone, potentially reducing demand and impacting revenue. Conversely, a depreciation of the Euro against the U.S. dollar would increase our costs for any goods or services we procure or pay for in dollars, further affecting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exposure to foreign exchange risk is considerable, making our cash flow and earnings susceptible to currency market volatility. This volatility could materially affect our financial performance, particularly if adverse exchange rate movements reduce our competitive pricing or increase the relative cost of key imports.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French tax legislation may change, which could adversely affect the tax treatment of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French tax authorities may disagree with the tax treatment described in this registration statement, and their determination may be upheld by a court. Future legislation, regulations, administrative rulings or court decisions may adversely affect the accuracy of the statements regarding French tax treatment herein. Changes in French tax laws, including changes to withholding tax rates, the taxation of dividends or capital gains, or the rules applicable to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treaties, could increase the tax burden on shareholders. Such changes may be implemented on a prospective or retroactive basis, and there can be no assurance that any such changes would not materially affect the financial position of shareholders or the value of our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French tax law may limit our ability to deduct interest for tax purposes, which could increase our tax burden.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French tax resident company, we are subject to interest deductibility limitations set forth under French tax law, including those provided under Articles 212 bis and 39, 1-3° of the French Tax Code. Under Article 212 bis, net financial expenses may only be deductible up to the higher of (i) €3 million or (ii) 30% of the taxpayer’s “tax EBITDA” (as defined under French tax law), subject to certain adjustments and conditions. Additional restrictions may apply to interest paid to related parties or in connection with intra-group financing arrangements. These limitations may be further tightened under ATAD II provisions which aim at dealing with the deduction of certain expenses or the taxation of certain income which are recognized in the context of a cross-border hybrid situation. To the extent we incur significant indebtedness, including in connection with future financings, these rules could limit the deductibility of a material portion of our interest expenses and thereby increase our effective tax rate. This could have a material adverse effect on our business, financial condition, results of operations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use our tax loss carry-forwards may be limited, which could adversely affect our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incurred significant operating losses since our incorporation and, as a result, has accumulated substantial tax loss carry-forwards. Under French tax law, tax loss carry-forwards may be carried forward indefinitely but their utilization is subject to an annual cap: only one million euro increased by 50% of the excess profits may be offset in any given fiscal year. In addition, the ability to effectively use such tax loss carry-forwards will depend on a variety of factors, including: (i) our ability to generate sufficient future taxable income against which tax losses may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utilized; (ii) changes in applicable French tax law and regulations, including potential further restrictions on the use of tax loss carry-forwards; (iii) the outcome of present and future tax audits or disputes with the French tax authorities; and (iv) potential limitations on the transfer or use of tax losses in connection with the Business Combination, the Reincorporation Merger or future reorganizations. If we are unable to fully utilize our tax loss carry-forwards, our effective tax rate may increase, which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French financial transaction tax may apply to certain acquisitions of our shares, which could affect the liquidity and market value of 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Article 235 ter ZD of the French Tax Code, a financial transaction tax (</w:t>
      </w:r>
      <w:r>
        <w:rPr>
          <w:rFonts w:ascii="Times New Roman PS Std;serif" w:hAnsi="Times New Roman PS Std;serif"/>
          <w:b w:val="false"/>
          <w:i/>
          <w:caps w:val="false"/>
          <w:smallCaps w:val="false"/>
          <w:sz w:val="20"/>
        </w:rPr>
        <w:t>taxe sur les transactions financières</w:t>
      </w:r>
      <w:r>
        <w:rPr>
          <w:rFonts w:ascii="Times New Roman PS Std;serif" w:hAnsi="Times New Roman PS Std;serif"/>
          <w:b w:val="false"/>
          <w:i w:val="false"/>
          <w:caps w:val="false"/>
          <w:smallCaps w:val="false"/>
          <w:sz w:val="20"/>
        </w:rPr>
        <w:t xml:space="preserve">) applies, subject to certain conditions and exemptions, to certain acquisitions of equity securities or equivalent instruments of French companies whose market capitalization exceeds €1 billion as of December 1st of the year preceding the year during which the taxable acquisition takes place, and whose shares are admitted to trading on a regulated market within the European Union, the European Economic Area or a foreign regulated market formally recognized as such by the </w:t>
      </w:r>
      <w:r>
        <w:rPr>
          <w:rFonts w:ascii="Times New Roman PS Std;serif" w:hAnsi="Times New Roman PS Std;serif"/>
          <w:b w:val="false"/>
          <w:i/>
          <w:caps w:val="false"/>
          <w:smallCaps w:val="false"/>
          <w:sz w:val="20"/>
        </w:rPr>
        <w:t xml:space="preserve">Autorité des Marchés Financiers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AMF</w:t>
      </w:r>
      <w:r>
        <w:rPr>
          <w:rFonts w:ascii="Times New Roman PS Std;serif" w:hAnsi="Times New Roman PS Std;serif"/>
          <w:b w:val="false"/>
          <w:i w:val="false"/>
          <w:caps w:val="false"/>
          <w:smallCaps w:val="false"/>
          <w:sz w:val="20"/>
        </w:rPr>
        <w:t xml:space="preserve">”) (as of now, Nasdaq has not been formally recognized as a regulated market by the AMF). The tax is currently levied at a rate of 0.4% of the acquisition price of the shares. If our market capitalization were to exceed the applicable threshold and we were to be admitted on a French or European market, or a foreign regulated market formally recognized as such by the AMF or if the scope of the financial transaction tax is broadened, acquisitions of our shares on the secondary market could become subject to this tax. The imposition of such a tax could increase transaction costs for investors, reduce the liquidity of our shares and adversely affect their market value. We have no control over future changes to the rate, scope or conditions of the financial transaction tax. The Merger itself should not trigger any financial transaction tax under Article 235 </w:t>
      </w:r>
      <w:r>
        <w:rPr>
          <w:rFonts w:ascii="Times New Roman PS Std;serif" w:hAnsi="Times New Roman PS Std;serif"/>
          <w:b w:val="false"/>
          <w:i/>
          <w:caps w:val="false"/>
          <w:smallCaps w:val="false"/>
          <w:sz w:val="20"/>
        </w:rPr>
        <w:t>ter</w:t>
      </w:r>
      <w:r>
        <w:rPr>
          <w:rFonts w:ascii="Times New Roman PS Std;serif" w:hAnsi="Times New Roman PS Std;serif"/>
          <w:b w:val="false"/>
          <w:i w:val="false"/>
          <w:caps w:val="false"/>
          <w:smallCaps w:val="false"/>
          <w:sz w:val="20"/>
        </w:rPr>
        <w:t xml:space="preserve"> ZD of the French Tax Code.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Like in other countries, French government authorities may, in certain extreme cases for public interests, have the power to exercise nationalization, expropriation, requisition, or compulsory licensing with respect to our assets, properties or intellectual property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law provides public authorities with certain powers to nationalize, expropriate, requisition, compulsorily license or otherwise interfere with private property rights in limited circumstances, where public necessity, national defense, public health or other essential public interests are implicated. These powers may apply to assets and properties located in France and, in certain circumstances, to intellectual property rights. Under French constitutional principles, deprivation of property is permitted only where public necessity, legally determined, clearly requires it and subject to just and prior compensation. Although such powers are never or very rarely used (and never outside special historical circumstances), the following can be said about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defense legislation, like legislation in other countries, permits requisition of persons, goods and services in circumstances involving actual or foreseeable threats to activities essential to the life of the nation, protection of the population, territorial integrity, continuity of institutions or France’s defense commitments. Requisition is typically not a lasting deprivation of property but an obligation for the owner to produce certain goods and services or permit the State to use its assets. Requisition measures are financially compensated but may not include lost net profits. EU intellectual property law provides for compulsory patent licensing mechanisms in the event of declared crisis or for public health, national economic needs or defense purposes. If such measures were applied to our intellectual property, we could lose exclusivity or be required to license rights to third parties or the State, for compensation determined by agreement or by a French court. Although these measures are conceived to be exceptional and subject to compensation mechanisms, there can be no assurance that compensation would be adequate to totally offset the harm resulting from any such measure.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nationalization, expropriation, requisition, compulsory licensing or similar governmental action affecting our assets, business operations or intellectual property rights could materially adversely affect our ability to conduct our business, commercialize our products, or generate revenues, and could have a material adverse effect on our business, financial condition, results of operations and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exercise of BSPCEs and sale of underlying shares may give rise to adverse tax and social security consequences for us and for BSPCE holders and could negatively affect investors’ financial returns and the liquidity of their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BSPCEs are equity warrants governed by Article 163 </w:t>
      </w:r>
      <w:r>
        <w:rPr>
          <w:rFonts w:ascii="Times New Roman PS Std;serif" w:hAnsi="Times New Roman PS Std;serif"/>
          <w:b w:val="false"/>
          <w:i/>
          <w:caps w:val="false"/>
          <w:smallCaps w:val="false"/>
          <w:sz w:val="20"/>
        </w:rPr>
        <w:t xml:space="preserve">bis </w:t>
      </w:r>
      <w:r>
        <w:rPr>
          <w:rFonts w:ascii="Times New Roman PS Std;serif" w:hAnsi="Times New Roman PS Std;serif"/>
          <w:b w:val="false"/>
          <w:i w:val="false"/>
          <w:caps w:val="false"/>
          <w:smallCaps w:val="false"/>
          <w:sz w:val="20"/>
        </w:rPr>
        <w:t>G of the French Tax Code, that entitle eligible employees and corporate officers to subscribe for shares at a predefined exercise price under certain conditions. BSPCEs can benefit from a preferential tax and social security regime under French law, provided that a number of conditions are satisfied both at the level of the issuing company and at the level of the individual beneficiaries at the time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company level, BSPCE eligibility requires for French entities, among other conditions, that the issuing company (i) is a joint stock company (</w:t>
      </w:r>
      <w:r>
        <w:rPr>
          <w:rFonts w:ascii="Times New Roman PS Std;serif" w:hAnsi="Times New Roman PS Std;serif"/>
          <w:b w:val="false"/>
          <w:i/>
          <w:caps w:val="false"/>
          <w:smallCaps w:val="false"/>
          <w:sz w:val="20"/>
        </w:rPr>
        <w:t>société par actions</w:t>
      </w:r>
      <w:r>
        <w:rPr>
          <w:rFonts w:ascii="Times New Roman PS Std;serif" w:hAnsi="Times New Roman PS Std;serif"/>
          <w:b w:val="false"/>
          <w:i w:val="false"/>
          <w:caps w:val="false"/>
          <w:smallCaps w:val="false"/>
          <w:sz w:val="20"/>
        </w:rPr>
        <w:t>) incorporated less than fifteen years prior to the date of grant, (ii) is subject to French corporate income tax, (iii) has at least 15% (prior to 2026, 25%) of our share capital held directly and continuously by natural persons or by entities that themselves meet certain holding requirements, and (iv) is not formed as a result of a restructuring, extension of a pre-existing activity, or takeover of such activity, unless additional conditions are met. At the beneficiary level, BSPCEs may only be granted to employees and certain corporate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exercise price of BSPCEs must be set at a level at least equal to the fair market value of the underlying shares at the time of grant. The French tax authorities provide further guidance in their published comments on valuation methodologies, including the potential application of discounts. Prior to our listing, the determination of the fair market value for a privately held company preparing to go public involved inherent uncertainty and required the application of valuation methods, even if documented properly, that are subject to potential challenge of the French tax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successful challenge by the French tax or social security authorities, holders of BSPCEs could face a reclassification of their exercise gains as employment income and thus support personal income tax at progressive rates, social security contributions, together with late payment interest and potential penalties. In parallel, we, as the employer, could also be liable for social security contributions on the reclassified amounts, together with late payment interest and potential penalties.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Business Combination or any subsequent change in our corporate structure, shareholding or tax residence could affect the eligibility conditions for BSPCEs or the ability of us to issue new BSPCEs in the future but would not affect the qualification of outstanding BSPCEs. Changes in applicable French tax law, administrative guidance, or case law, including any legislative reforms affecting the taxation of equity-based compensation, could also adversely modify the tax and social security treatment of outstanding or future BSPCEs. Any such adverse consequences could negatively affect investors’ financial returns and the liquidity of their investment, reduce the attractiveness of BSPCEs as a compensation and retention tool and have a material adverse effect on our ability to attract, retain and motivate key employees.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Ownership of Our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no guarantee of a positive return on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 make no guarantee in respect of the market price of Ordinary Shares, and any acquirer of our shares, whether by direct issue, conversion, or acquisition on-market, may not necessarily make a profit on any capital expended in the acquisition. The value of Ordinary Shares will be determined by the stock market and will be subject to a range of factors beyond the control of our directors and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publicly traded stock is affected by many variables not directly related to the success of the company. These factors include, but are not limited to, the demand for, and availability of, the company’s shares, movements in domestic interest rates, exchange rates, fluctuations in the French, United States and international stock markets, and general domestic and economic activity. Securities markets can experience high levels of price and volume volatility, and the market price of securities of many companies can experience wide fluctuations which have not necessarily been related to the operating performance, underlying asset values or prospects of such companies. There can be no assurance that such fluctuations will not affect the price of our securities going forward.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can be no assurance that our Ordinary Shares will be approved for listing on the regulated market of Euronext, and if such listing is successful, a dual listing of our Ordinary Shares may adversely affect the liquidity and value of our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to the Business Combination Agreement have agreed to use their reasonable best efforts to obtain listing of Ordinary Shares on the regulated market of Euronext, subject to market conditions and considerations, within 12 months from the closing of the Business Combination. We may not be able to meet the initial listing requirements for the Euronext, and even if Ordinary Shares are so listed, we may be unable to maintain the listing of such securities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such a secondary listing on Euronext (in addition to Nasdaq), trading of Ordinary Shares in these markets will take place in different currencies (U.S. dollars on Nasdaq and Euros on Euronext), at different times (resulting from different time zones, different trading days and different public holidays in the United States and France) and with different settlement mechanics. The trading prices of Ordinary Shares on these two markets may differ due to these and other factors and we cannot predict the effect of this dual listing on the value of Ordinary Shares. Any decrease in the price of Ordinary Shares on Euronext could cause a decrease in the trading price of Ordinary Shares on Nasdaq and vice versa. Investors could seek to sell or buy Ordinary Shares to take advantage of any price differences between the markets through a practice referred to as arbitrage. Any arbitrage activity could create unexpected volatility in both the trading prices on one exchange and Ordinary Shares available for trading on the other exchange. Further, the dual listing of Ordinary Shares may reduce the liquidity of these securities in one or both markets and may adversely affect the development of an active trading market for Ordinary Shares in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face limitations on shareholder liquidity and transferability of our securities due to French State interests and regulatory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implementation of Regulation (EU) 2019/452 of 19 March 2019, the scope of French foreign investment screening has been expanded to cover additional economic sectors. Prior authorization from the French Minister of Economy is required for investments in companies that (i) participate in the exercise of public authority, even occasionally, (ii) may affect public order, public security or national defense interests, or (iii) are engaged in the research, production or trade of arms, ammunition, explosives or related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the presence of French State interests and the application of French foreign investment regulations, our shareholders may face significant restrictions on the transfer of their shares or on the ability to effect a change of control. In particular, under the French foreign investment control regime, the direct or indirect acquisition by a non-EU acquirer (or by multiple non-EU acquirers acting in concert) of 10% or more of the voting rights of the Company requires the prior authorization of the French Ministry of the Economy. This approval process may be lengthy, subject to conditions, or even denied, depending on the nature of the acquirer and the strategic importance of our business activities. See “</w:t>
      </w:r>
      <w:r>
        <w:rPr>
          <w:rFonts w:ascii="Times New Roman PS Std;serif" w:hAnsi="Times New Roman PS Std;serif"/>
          <w:b w:val="false"/>
          <w:i/>
          <w:caps w:val="false"/>
          <w:smallCaps w:val="false"/>
          <w:sz w:val="20"/>
        </w:rPr>
        <w:t>Risk Factors — Risks Related to Litigation and Government Regulation — Foreign investment regulations may restrict or delay future changes in control or significant acquisitions involving us.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restrictions may result in delays or prevent certain transactions from being completed, and may be outside the control of our shareholders. As a result, the liquidity and market value of our securities may be adversely affected, and shareholders may be unable to realize the full value of their investment or to exit their position in a timely manner. Furthermore, these regulatory requirements may limit our ability to attract new investors, pursue certain strategic transactions, or respond flexibly to changes in our shareholder base.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Depending on where our activities will develop, we may, in the future, also be subject to foreign investment regulations in other countries, with comparable consequences.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Ownership among our existing executive officers, directors and their affiliates may prevent new investors from influencing significant corporate decisions.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closing of the Business Combination, our directors, executive officers and their affiliates as a group beneficially own approximately 18.7% of the issued and outstanding Ordinary Shares. As a result, these shareholders will be able to exercise a significant level of control over all matters requiring shareholder approval, including the election of directors, any amendment of the articles of association and approval of significant corporate transactions. This control could have the effect of delaying or preventing a change of control or changes in management and will make the approval of certain transactions difficult or impossible without the support of these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and trading volume of our Ordinary Shares may be volatile and could decline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markets, including Nasdaq on which have listed our Ordinary Shares, have from time to time experienced significant price and volume fluctuations. Even if an active, liquid and orderly trading market develops and is sustained for Ordinary Shares, the market prices of Ordinary Shares may be volatile and could decline significantly. In addition, the trading volumes in Ordinary Shares may fluctuate and cause significant price variations to occur. If the market prices of Ordinary Shares decline significantly, you may be unable to resell your Ordinary Shares at or above the market price of Ordinary Shares as of the date immediately following the Business Combination. There can be no assurance that the market prices of Ordinary Shares will not fluctuate widely or decline significantly in the future in response to a number of factors, including, among others,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realization of any of the risk factors presented in this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or anticipated differences in our estimates, or in the estimates of analysts, for our revenues, results of operations, cash flows, liquidity or financial condition;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announcements by our competitors of significant business developments including acquisitions, dispositions, strategic partnerships, joint venture or capital commitments;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acquisitions or expansion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involvement in litigation and government investigations;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 of Ordinary Shares or other securities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in our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key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trading volume of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potential or perceived control, accounting or reporting problems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accounting principles, policies and guidelines;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events or factors, including but not limited to those resulting from infectious diseases, health epidemics and pandemics, natural disasters, war, acts of terrorism or responses to these events;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market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stock markets have experienced extreme price and volume fluctuations. Broad market and industry factors may materially harm the market price of Ordinary Shares, regardless of our operating performance. The trading price may also be adversely affected by third parties attempting to drive the market price up or down, including short sellers and others who may publish rumors or commentary, including anonymously on social media, which can negatively affect our stock price and increase volatility. In the past, following periods of volatility in the market price of a company’s securities, securities class action litigation has often been instituted against that company. If we were involved in any similar litigation it could incur substantial costs and our management’s attention and resources could be diverted. The impact of any of the foregoing on our management, employees, partners, customers and operating results could, in turn, exacerbate volatility in the market price and trading volume of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redeem your unexpired warrants prior to their exercise at a time that is disadvantageous to you, thereby making your warrants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the ability to redeem outstanding New Pasqal Warrants at any time after they become exercisable and prior to their expiration, at a price of $0.01 per warrant, provided that the last reported sales price of our shares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We will not redeem New Pasqal Warrants unless (i) a registration statement under the Securities Act covering the sale of the Ordinary Shares issuable upon exercise of New Pasqal Warrants is effective and a current prospectus relating to those Ordinary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 available throughout the Measurement Period and the Redemption Period or (ii) we require holders to exercise the New Pasqal Warrants on a “cashless basis.” Redemption of the outstanding New Pasqal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 and Investment Warrants will become exercisable for Ordinary Shares, which would increase the number of shares eligible for future resale in the public market and result in dilution to our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to purchase an aggregate of 17,333,333 Ordinary Shares will become exercisable in accordance with the terms of the Warrant Amendment Agreement and the existing Warrant Agreement governing those securities. These warrants will become exercisable 30 days after the completion of the Business Combination. The exercise price of these warrants will be $11.50 per share. To the extent such warrants are exercised, additional Ordinary Shares will be issued, which will result in dilution to the holders of Ordinary Shares and increase the number of shares eligible for resale in the public market. In addition, the Investment Warrants are currently exercisable and will expire five years from the date of Closing. The exercise price of these warrants is $12.00 per Ordinary Share, subject to certain anti-dilution and other adjustments as set forth in the Terms and Conditions governing such warrants. Sales of substantial numbers of such shares in the public market or the fact that such warrants may be exercised could adversely affect the market price of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issue additional ordinary shares, which would increase the number of shares eligible for future resale in the public market and result in dilution to our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additional ordinary shares or other equity securities of equal or senior rank in the future in connection with, among other things, capital-raising initiatives, future investments and acquisitions, or repayment of outstanding indebtedness, in most cases without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additional shares or other equity securities of equal or senior rank would have the following effects: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existing shareholders’ proportionate ownership interest will decrease;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eligible for resale in the public market will increase;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of cash available per share, including for payment of dividends in the future, may decrease;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relative voting strength of each share of previously outstanding ordinary shares may be diminished;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price of our Ordinary Shares may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incurred significant indebtedness as a result of the March 2026 Financing and the issuance of the Senior Unsecured Convertible Bonds and we may incur additional indebtedness in the future. The indebtedness created by the sale of Senior Unsecured Convertible Bonds and any future indebtedness we incur exposes us to risks that could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indebtedness could have significant negative consequences for our business, results of operations and financial condition,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increasing our vulnerability to adverse economic and industry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obtain additional financing on reasonable terms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the dedication of a portion of our cash flow from operations to service our indebtedness, thereby reducing the amount of our cash flow available for other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flexibility in planning for, or reacting to, changes in our business;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placing us at a possible competitive disadvantage with less leveraged competitors and competitors that may have better access to capital resources.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we will continue to maintain sufficient cash reserves or that our business will generate cash flow from operations at levels sufficient to permit us to pay principal, premium, if any, and interest on our indebtedness, or that our cash needs will not increase. Further, in the ordinary course of its business, we have also entered into, and may in the future be required to enter into, bank guarantees and similar arrangements to support its performance obligations under customer contracts. These arrangements may require us to pledge cash deposits or other collateral, which could reduce our liquidity and financial flexibility. If we are unable to generate sufficient cash flow or otherwise obtain funds necessary to make required payments, or if we fail to comply with the various requirements of the Senior Unsecured Convertible Bonds or any indebtedness which we may incur in the future, we would be in default, which could have a material adverse effect on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March 2026 Financing may impact our financial results, result in dilution to our shareholders, create downward pressure on the price of our Ordinary Shares, and restrict our ability to raise additional capital or take advantage of future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conditions to conversion set forth in the Senior Unsecured Convertible Bond Terms and Conditions, a holder of the Senior Unsecured Convertible Bonds has the right, at such holder’s option, to convert all or any portion of its bonds into Ordinary Shares at an initial conversion rate of $12.00 per share. The conversion rate and conversion price are subject to customary adjustments upon the occurrence of certain events, including with respect to future issuances or sales of New Pasqal Ordinary Shares at prices less than the conversion price then in effect, and the conversion price is subject to a one-time downward VWAP reset six months after issuance, subject to a floor price. Please see the section entitled “Description of Our Securities — Senior Unsecured Convertible Bonds and Investment Warrants”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Ordinary Shares are issued to the Investors upon conversion of the Senior Unsecured Convertible Bonds or the exercise of the Investment Warrants, there will be dilution to our shareholders and the market price of Ordinary Shares may decrease due to the additional selling pressure in the market. Any downward pressure on the price of Ordinary Shares caused by the sale, or potential sale, of shares issuable upon conversion of the Senior Unsecured Convertible Bonds or exercise of the Investment Warrants could also encourage short sales by third parties, creating additional selling pressure on our share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Senior Unsecured Convertible Bonds contain certain restrictions and limitations that could impact our ability to operate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as long as 10% of the Senior Unsecured Convertible Bonds issued as of the Closing Date remain held by the investors in the March 2026 Financing and their respective affiliates, we may not, without the affirmative vote or written consent of the Masse (the “</w:t>
      </w:r>
      <w:r>
        <w:rPr>
          <w:rFonts w:ascii="Times New Roman PS Std;serif" w:hAnsi="Times New Roman PS Std;serif"/>
          <w:b/>
          <w:i w:val="false"/>
          <w:caps w:val="false"/>
          <w:smallCaps w:val="false"/>
          <w:sz w:val="20"/>
        </w:rPr>
        <w:t>Requisite Holders</w:t>
      </w:r>
      <w:r>
        <w:rPr>
          <w:rFonts w:ascii="Times New Roman PS Std;serif" w:hAnsi="Times New Roman PS Std;serif"/>
          <w:b w:val="false"/>
          <w:i w:val="false"/>
          <w:caps w:val="false"/>
          <w:smallCaps w:val="false"/>
          <w:sz w:val="20"/>
        </w:rPr>
        <w:t>”), take any of the following actions: (i) liquidate, dissolve or wind up the affairs of the Company, or commence or consent to any bankruptcy proceeding relating to the Company; (ii) amend, alter, or repeal any provision of the Company’s bylaws or the Senior Unsecured Convertible Bonds Terms and Conditions in a manner that materially and adversely affects the powers, preferences or rights given to the holders of the Senior Unsecured Convertible Bonds; (iii) create, authorize or issue any other equity security or security convertible into or exercisable for any equity security unless such security ranks junior to the Senior Unsecured Convertible Bonds with respect to its rights, preferences and privileges, or increase the aggregate amount of the Senior Unsecured Convertible Bonds accordingly; (iv) pay any cash dividend or redeem any equity or equity-linked security prior to repayment in full, redemption or conversion of the Senior Unsecured Convertible Bonds into Ordinary Shares, other than stock repurchased at cost from former employees and consultants in connection with the cessation of their service or pursuant to the terms of any equity incentive plan of the Company; (v) enter into any transaction with an affiliate, other than the issuance of equity or awards to eligible participants under our incentive plan, equity plan or equity-based compensation plan, or with respect to employment, consulting or award agreements with respect to executive officers of the Company, in each case regardless of whether such person (or such person’s affiliates) would be considered an affiliate of the Company; or (vi) incur or guarantee any new indebtedness, including secured and/or senior debt, other than equipment leases or trade payables incurred in the ordinary course of business. These restrictions could affect our ability to operate our business, may limit our ability in the future to satisfy currently outstanding obligations and may limit our ability to take advantage of potential business opportunities as they arise.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research, publish inaccurate or unfavorable research or cease publishing research about us, our share price and trading volume could decline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Ordinary Shares will depend, in part, on the research and reports that securities or industry analysts publish about our business. We may be unable to sustain coverage by well-regarded securities and industry analysts. If either none or only a limited number of securities or industry analysts maintain coverage of the Company, or if these securities or industry analysts are not widely respected within the general investment community, the demand for Ordinary Shares could decrease, which might cause its share price and trading volume to decline significantly. In the event that we obtain securities or industry analyst coverage or, if one or more of the analysts who cover us downgrade their assessment of the Company or publish inaccurate or unfavorable research about our business, the market price and liquidity for Ordinary Shares could be negatively impacted.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operating and financial performance in any given period does not meet the guidance provided to the public or the expectations of investment analysts, the market price of our Ordinary Shares may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but are not obligated to, provide public guidance on our expected operating and financial results for future periods. Any such guidance will consist of forward-looking statements, subject to the risks and uncertainties described in this filing. Our actual results may not always be in line with or exceed any guidance we may provide, especially in times of economic uncertainty. Further, lengthy sales cycle may contribute to substantial fluctuations in our quarterly or annual operating results as significant sales can be delayed to subsequent periods. If, in the future, our operating or financial results for a particular period do not meet any guidance provided or the expectations of investment analysts, or if we reduce our guidance for future periods, the market price of our ordinary shares may decline as well. There can be no assurance that we will issue or continue to issue public guidance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financial results may vary significantly from period to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revenue and operating results to vary from period to period. We may incur significant operating expenses during the start-up and early stages of large contracts and may not be able to recognize corresponding revenue in that same quarter. We may also incur additional expenses when contracts are terminated or expire and are not renewed. We may also incur additional expenses when customers are newly acquired. Additionally, payments due to us from our customers may be delayed for a variety of reasons, and these delays could cause significant fluctuations from period to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factors that may cause our financial results to fluctuate from period to period include those addressed elsewhere in this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section and the following factors,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customer contracts that affect the timing of revenue recognition;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 availability and costs for hourly and management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profitability of our products, especially in new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interest rates;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impairment of long-lived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macroeconomic conditions, both nationally and locally;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size and scope of our revenue arrangements with our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negative publicity related to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customer preferences and competitive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loss of strategic relationships or existing contracts with any customer;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lengthy customer sales cycle, leading to difficulty in forecasting the timing of purchasing decisions;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expansion to new markets;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commodity prices.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requirements of being a public company may strain our resources, divert our management’s attention and affect our ability to attract and retain qualified board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incur additional legal, accounting and other expenses following the Business Combination. We are subject to the reporting requirements of the Exchange Act, the Sarbanes-Oxley Act, the Dodd-Frank Act, the Nasdaq listing requirements and other applicable securities rules and regulations. These expenses may increase even more if we no longer qualify as an “emerging growth company,” as defined in Section 2(a) of the Securities Act. The Exchange Act requires, among other things, that we file annual and current reports with respect to the Company’s business and operating results. The Sarbanes-Oxley Act requires, among other things, that we maintain effective disclosure controls and procedures and internal control over financial reporting. Management may not be able to effectively and timely implement controls and procedures that adequately respond to the increased regulatory compliance and reporting requirements applicable to us as a public company. We may need to hire more employees or engage outside consultants to comply with these requirements, which will increase our costs and expenses. If we are not able to implement the requirements of Section 404 of the Sarbanes-Oxley Act, including any additional requirements once we are no longer an emerging growth company, in a timely manner or with adequate compliance, we may not be able to assess whether internal controls over financial reporting are effective, which may subject us to adverse regulatory consequences and could harm investor confidence and the market price of our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team has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management’s attention from implementing our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obtain such coverage. These additional obligations could have a material adverse effect on our business, financial condition, results of operations and prospects. These factors could also make it more difficult for us to attract and retain qualified members of our board of directors, particularly to serve on our audit committee, compensation committee and nominating and corporate governance committee, and qualified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disclosure of information in this prospectus and in filings required of a public company, our business and financial condition will become more visible, which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the time and resources necessary to resolve them and negative publicity, could have an adverse effect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identified material weaknesses in our internal control over financial reporting. If we are unable to remediate these material weaknesses, or if we fail to establish and maintain effective internal control over financial reporting, we may be unable to timely produce or accurately report our financial results or prevent fraud. We may identify additional material weaknesses in our internal controls over financial reporting which we may not be able to remedy in a timely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and 2025, management identified material weaknesses in our internal control over financial reporting.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material weaknesses relate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 and formalization of our control environment and entity-level ICFR governance framework;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 effective risk assessment process covering financial reporting risks;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deficiencies in information technology general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insufficiently designed and documented review controls over significant and complex accounting judgments and non-routine transactions;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limitations in internal resources, both in terms of personnel quantity and technical expertise, including with respect to IFRS and SEC reporting and disclosure requirements as a first-time SEC registrant.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an internal control environment and governance framework commensurate with our financial reporting requirements. Certain financial reporting responsibilities were concentrated among a limited number of individuals, segregation of duties was not consistently implemented across all relevant processes, and documentation and formalization of key controls and independent review activities were not sufficiently formalized and documented.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a sufficiently formalized and documented process to identify and assess changes in our business and operations that could impact financial reporting risks. Our risk assessment activities were primarily based on management experience and ad hoc processes, without a comprehensive and periodically updated framework aligned with the COSO principles.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effective information technology general controls over systems relevant to financial reporting. In particular, deficiencies were identified in change management processes, user access controls (including privileged access), periodic access reviews, governance over and oversight of third-party IT service providers, and documentation of system implementations and modifications. In addition, certain key financial data and reports relied on manual processing and adjustments, increasing the risk of data integrity issues.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effective controls to ensure that significant and non-routine accounting matters and judgments are consistently documented and independently reviewed on a timely basis. These matters include, among others, business combinations, share-based compensation, capital instruments, and other complex or non-recurring transactions. Although analyses were performed, including with the assistance of external advisors, effective controls were not consistently designed and maintained to ensure such analyses were appropriately documented, reviewed and approved on a timely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a first-time SEC registrant, we did not have sufficient internal capabilities or formalized processes to address SEC reporting and disclosure requirements. In addition, we had limited internal resources, both in terms of personnel quantity and technical expertise, including with respect to IFRS and SEC reporting and disclosure requirements, which impacted both the design and operating effectiveness of our internal controls over financial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there is a reasonable possibility that a material misstatement of our annual or interim consolidated financial statements would not be prevented or detected on a timely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adjustments identified in connection with the preparation of our consolidated 2024 and 2025 financial statements were recorded and corrected prior to issuance, the existence of these material weaknesses could result in future misstatements if not remediated.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Neither we nor our independent registered public accounting firm undertook a comprehensive assessment of our internal control over financial reporting under the Sarbanes-Oxley Act. However, in connection with the preparation of our consolidated financial statements, management identified the material weaknesses described above. Had we performed a formal assessment of our internal control over financial reporting, or had our independent registered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firm performed an audit of our internal control over financial reporting, additional control deficiencies may have been identified. We are required to comply with the requirements of Section 404 of the Sarbanes-Oxley Act, and we expect to continue to enhance our internal control framework as part of this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initiated a remediation plan to address these material weaknesses. However, the remediation efforts are ongoing and will require significant time, costs and resources. We intend to complete the remediation of these material weaknesses as expeditiously as possible, aiming to get remediation completed prior to the date on which we cease to qualify as an “emerging growth company”. We cannot provide assurance that we will be able to complete full remediation by then or that additional material weaknesses will not be identified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remediation plan includes, among other measures: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strengthening our finance organization, including the recruitment and training of personnel with appropriate IFRS and SEC public company reporting expertise;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enhancing the documentation of our accounting policies, technical accounting analyses and key judgments;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implementing formalized control procedures, including independent review and approval controls over complex and non-routine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implementing a more formalized financial reporting risk assessment process aligned with the COSO framework;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strengthening IT governance and implementing more robust information technology general controls;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continuing to leverage external advisors to support complex accounting and SEC reporting matters during this transition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filing: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remediation actions have been initiated, including: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preparation of technical accounting documentation and position papers;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involvement of external advisors to support complex accounting and SEC reporting matters;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remediation actions remain to be implemented, including: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full formalization and implementation of control procedures across key financial reporting processes;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and implementation of a comprehensive financial reporting risk assessment framework;</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further strengthening of internal finance resources and technical expertise;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implementation and testing of IT general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the remediation plan will be fully implemented within the expected timeframe, that the remediation measures will be sufficient to address the identified material weaknesses, or that additional material weaknesses will not be identified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and expect to continue to incur material costs in connection with our remediation efforts, including external advisory fees, incremental personnel costs, training costs, IT control enhancement costs, and process documentation and implementation costs. These costs are not expected to be capitalized and will be recognized as incurred.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and it cannot be certain if the reduced SEC reporting requirements applicable to emerging growth companies will make our Ordinary Shares less attractive to investors, which could have a material and adverse effect on us, including our growth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Ordinary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Exchange Act and the rules under the Exchange Act requiring the filing with the SEC of quarterly reports on Form 10-Q containing unaudited financial and other specified information, and current reports on Form 8-K, upon the occurrence of specified significant events. In addition, we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our shareholders may not have access to certain information they deem important. We cannot predict if investors will find Ordinary Shares less attractive because we rely on these exemptions. If some investors do find Ordinary Shares less attractive as a result, there may be a less active trading market and share price for Ordinary Shares may be more volatile.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is not expected that we will pay dividends in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expected that we will retain most, if not all, of our available funds and any future earnings to fund the development and growth of its business. In addition, we are a holding company and our subsidiaries are located in various locations, including Europe, Canada, the United States, Saudi Arabia, South Korea and the United Kingdom. Part of our primary internal sources of funds to meet our cash needs will be our share of the dividends, if any, paid by our subsidiaries. The distribution of dividends to us from the subsidiaries in certain markets where we operate is subject to restrictions imposed by the applicable laws and regulations in these markets. As a result, it is not expected that we will pay any cash dividends in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have complete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the board of directors. There is no guarantee that the shares of the Company will appreciate in value or that the trading price of the shares will not decline. Holders of Ordinary Shares should not rely on an investment in Ordinary Shares as a source for any future dividend income.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Short sellers may engage in manipulative activity intended to drive down the market price of our ordinary shares, which could also result in related regulatory and governmental scrutiny, among other effects.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ordinary shares for the price to decline. At any time, short sellers may publish, or arrange for the publication of, opinions or characterizations that are intended to create negative market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momentum. Issuers, like us, whose securities have historically had limited trading history or volumes and/or have been susceptible to relatively high volatility levels can be vulnerable to such short seller attacks. Short selling reports can cause increased volatility in an issuer’s stock price, and result in regulatory and governmental inquiries. A short seller report about us could result in an inquiry or formal investigation from a governmental organization or other regulatory body, including any inquiry from the SEC or the U.S. Department of Justice, which could result in a material diversion of our management’s time and could have a material adverse effect on our business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rights of our shareholders may be different from the rights of shareholders of U.S. companies and provisions of our Articles of Association and the Board Internal Regulations and applicable law may impede or discourage a takeover, which could deprive our investors of the opportunity to receive a premium for our Ordinary Shares or to make changes in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affairs are governed by our Articles of Association and the Board Internal Regulations and the laws of the Republic of France. The rights of shareholders and the responsibilities of members of our board of directors may differ from the rights of shareholders and duties of directors in companies governed by the laws of U.S. jurisdictions. In the performance of its duties, our board of directors are required under French law to act in the corporate interest (intérêt social)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French law, shareholders’ ability to bring derivative actions on behalf of a company, or to bring actions against third parties to recover indirect losses, may be more limited than in certain U.S. jurisdictions. Generally, shareholders may only bring an individual claim against a third party where the acts or omissions of such third party also constitute a tort toward the shareholder, causing the shareholder direct, personal and distinct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law provides limited collective litigation mechanisms. While certain forms of collective actions exist under French law, including actions brought by approved associations of investors, such mechanisms are more limited than class actions available in certain U.S. jurisdictions and may not be available with respect to acts affecting shareholders’ rights. Approved associations of shareholders or investors may be permitted to bring claims in respect of wrongful acts harming the “collective interest” of the investors or of certain categories of investors. Such associations may request that the court order responsible persons to comply with relevant legal requirements to end irregularities or eliminate their effects. They may also seek indemnification in the name of individual investors who have suffered individual damages if mandated by at least two such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of French corporate law and our Articles of Association and the Board Internal Regulations may have the effect of concentrating control over certain corporate decisions and transactions in the hands of our board of directors. As a result, holders of our shares may encounter differences in the manner in which they may protect their interests in connection with actions taken by members of our board of directors than if we were incorporated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several provisions of our Articles of Association and the Board Internal Regulations and the laws of the Republic of France may discourage, delay or prevent a merger, consolidation or acquisition that shareholders may consider favorable, such as requirements to disclose the crossing of ownership thresholds. Under French law, our shareholder meeting may empower our board of directors to issue shares, or warrants to subscribe new shares, and restrict or exclude preemptive rights on the issue of those shares or warrants, including in the context of takeover offers. These provisions could impede the ability of our shareholders to benefit from a change in control and, as a result, could materially adversely affect the market price of Ordinary Shares and our shareholders’ ability to realize any potential change of control premium. French law generally does not provide appraisal rights comparable to those available under certain U.S. laws to shareholders seeking to challenge the consideration payable in connection with certain mergers or similar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Claims for indemnification by our directors and officers may reduce our available funds to satisfy successful third-party claims against us and may reduce the amount of money available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French law, provisions of bylaws that waive or limit the civil liability of directors are prohibited. However, French law allows </w:t>
      </w:r>
      <w:r>
        <w:rPr>
          <w:rFonts w:ascii="Times New Roman PS Std;serif" w:hAnsi="Times New Roman PS Std;serif"/>
          <w:b w:val="false"/>
          <w:i/>
          <w:caps w:val="false"/>
          <w:smallCaps w:val="false"/>
          <w:sz w:val="20"/>
        </w:rPr>
        <w:t>sociétés anonymes</w:t>
      </w:r>
      <w:r>
        <w:rPr>
          <w:rFonts w:ascii="Times New Roman PS Std;serif" w:hAnsi="Times New Roman PS Std;serif"/>
          <w:b w:val="false"/>
          <w:i w:val="false"/>
          <w:caps w:val="false"/>
          <w:smallCaps w:val="false"/>
          <w:sz w:val="20"/>
        </w:rPr>
        <w:t xml:space="preserve"> to contract for and maintain liability insurance against civil liabilities incurred by any of their directors and officers arising from acts performed in the course of their duties as directors or officers of the company. While fines or criminal penalties cannot be indemnified or insured under French law, insurance policies may cover certain defense costs incurred in connection with criminal proceedings, subject to applicable law and policy terms. We intend to maintain liability insurance for our directors and officers, including insurance against liability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Securities Act. We have or will maintain insurance on behalf of our directors and executive officers. We have entered into agreements with our directors and executive officers to provide contractual indemnification and plan to enter into indemnification agreements with future directors and executive officers. With certain exceptions and subject to limitations on indemnification under French law, these agreements provide for indemnification for damages and expenses including, among other things, attorneys’ fees, judgments and settlement amounts incurred by any of these individuals in any action or proceeding arising out of his or her actions in that capacity.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arrangements may discourage shareholders from bringing actions against our directors and executive officers for alleged breaches of duty. These provisions also may reduce the likelihood of litigation against directors and executive officers, even though such an action, if successful, might otherwise benefit us and our shareholders. Furthermore, a shareholder’s investment may be adversely affected to the extent the company pays any costs of settlement or damages against directors and officers pursuant to these arrangements.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significant portion of our total outstanding shares are restricted from immediate resale but may be sold into the market in the near future. This could cause the market price of our Ordinary Shares to drop significantly, even if our business is doing well.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a substantial number of Ordinary Shares in the public market could occur at any time. These sales, or the perception in the market that the holders of a large number of shares intend to sell shares, could reduce the market price of Ordinary Shares. Although the Sponsor, certain shareholders of Legacy Pasqal, certain shareholders of Bleichroeder and certain directors and officers will be prohibited from transferring any securities of the Company until the earlier of (i) 180 days after the date on which the Closing occurred, (ii) the day after the date on which the closing price of the Ordinary Shares equals or exceeds $12.00 per share (as adjusted for share sub-divisions, share capitalizations, reorganizations, recapitalizations and the like) for any 20 trading days within any 30-trading day period commencing after the date on which the Closing occurred, and (iii) the date on which we consummate a liquidation, merger, capital stock exchange, reorganization or other similar transaction that results in all of our shareholders having the right to exchange their shares for cash, securities or other property, in each case, subject to certain customary exceptions, these shares may be sold after the expiration or early termination or release of the respective applicable lock-up provisions. As restrictions on resale end and the registration statements are available for use, the market price of Ordinary Shares could decline if the holders of currently restricted shares sell them or are perceived by the market as intending to sell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restrictions on resale end, the sale or possibility of sale of these shares could have the effect of increasing the volatility in our share price or the market price of Ordinary Shares could decline if the holders of currently restricted shares sell them or are perceived by the market as intending to sell them.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only significant asset is our ownership interest in the Pasqal SAS business, and such ownership may not be sufficiently profitable or valuable to enable us to satisfy our other financial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direct operations and no significant assets other than our ownership interest in the Pasqal SAS business. We depend on the Pasqal SAS business for distributions, loans and other payments to generate the funds necessary to meet our financial obligations, including our expenses as a publicly traded company. The earnings from, or other available assets of, the Pasqal SAS business may not be sufficient to pay dividends or make distributions or loans to enable us to pay any dividends on the ordinary shares or satisfy our other financial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the sections entitled “</w:t>
      </w:r>
      <w:r>
        <w:rPr>
          <w:rFonts w:ascii="Times New Roman PS Std;serif" w:hAnsi="Times New Roman PS Std;serif"/>
          <w:b w:val="false"/>
          <w:i/>
          <w:caps w:val="false"/>
          <w:smallCaps w:val="false"/>
          <w:sz w:val="20"/>
        </w:rPr>
        <w:t>Management’s Discussion and Analysis of Financial Condition and Results of Operations — Liquidity and Capital Resources</w:t>
      </w:r>
      <w:r>
        <w:rPr>
          <w:rFonts w:ascii="Times New Roman PS Std;serif" w:hAnsi="Times New Roman PS Std;serif"/>
          <w:b w:val="false"/>
          <w:i w:val="false"/>
          <w:caps w:val="false"/>
          <w:smallCaps w:val="false"/>
          <w:sz w:val="20"/>
        </w:rPr>
        <w:t>”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Foreign Private Issuer Status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foreign private issuer, we are exempt from certain Nasdaq corporate governance requirements and a number of rules under the U.S. securities laws. You will therefore not have the same protections afforded to shareholders of companies that are subject to Nasdaq requirements and the information available to holders of our Ordinary Shares may be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qualify as a “foreign private issuer,” as defined in the SEC’s rules and regulations, and, consequently, we are not subject to all of the disclosure requirements applicable to public companies organized within the United States. For example, we are exempt from certain rules under the Exchange Act including, among other things: (i) the rules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Exchange Act requiring the filing of annual reports on Form 10-K, quarterly reports on Form 10-Q and current reports on Form 8-K with the SEC; (ii) the sections of the Exchange Act regulating the solicitation of proxies, consents, or authorizations in respect of a security registered under the Exchange Act and (iii) the selective disclosure rules by issuers of material nonpublic information under Regulation FD.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are not required to file periodic reports and financial statements with the SEC as frequently or within the same time frames as U.S. companies with securities registered under the Exchange Act. We currently prepare our financial statements in accordance with IFRS. We are not required to file financial statements prepared in accordance with or reconciled to U.S. GAAP so long as its financial statements are prepared in accordance with IFRS as issued by the International Accounting Standards Board. We are not required to comply with Regulation FD, which imposes restrictions on the selective disclosure of material information to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we will file an annual report on Form 20-F within four months of the close of each fiscal year ended December 31 and furnish reports on Form 6-K relating to certain material events promptly after we publicly announces these events. However, because of the above exemptions for foreign private issuers, which we intend to rely on, the information we are required to file with or furnish to the SEC will be less extensive and less timely compared to that required to be filed with the SEC by U.S. domestic issuers. Accordingly, our shareholders may receive less or different information about us than investors would receive about a United States domestic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determination of foreign private issuer status is made annually on the last business day of an issuer’s most recently completed second fiscal quarter.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Business Combination Agreement, we have agreed to use commercially reasonable efforts to maintain our status as a foreign private issuer, however, in the future, 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it were a company incorporated in the United States. If this were to happen, we would likely incur substantial costs in fulfilling these additional regulatory requirements, including potentially costs related to the preparation of financial statements in accordance with U.S. GAAP, and members of our management would likely have to divert time and resources from other responsibilities to ensuring these additional regulatory requirements are fulfilled.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certain information may be provided by us in accordance with French law, which may differ in substance or timing from such disclosure requirements under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corporate governance rules of Nasdaq require listed companies to have, among other things, a majority of independent board members and independent director oversight of executive compensation, nomination of directors and corporate governance matters. However, as a foreign private issuer, we will be permitted to, and may, follow home country practice in lieu of the above requirements, subject to certain exceptions. As long as we rely on the foreign private issuer exemption for certain of these corporate governance standards, a majority of our Board will not be required to be independent directors and our compensation committee and nominating and corporate governance committee are not required to be composed entirely of independent directors. Therefore, our Board’s approach to governance may be different from that of a board of directors consisting of a majority of independent directors, and, as a result, management oversight may be more limited than if it were subject to all the corporate governance standards of Nasdaq. Accordingly, you will not have the same protections afforded to shareholders of companies that are subject to all the corporate governance requirements of Nasdaq.</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lose our foreign private issuer status in the future, which could result in significant additional cost and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future, we would lose our “foreign private issuer” status if a majority of our shareholders, directors or management are U.S. citizens or residents and we fail to meet additional requirements necessary to avoid loss of that status. Although we have elected to comply with certain U.S. regulatory provisions, the loss of our “foreign private issuer” status would make such provisions mandatory. The regulatory and compliance costs to us under U.S. securities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laws as a U.S. domestic issuer may be significantly higher. If we are not a foreign private issuer, we will be required to file periodic reports and registration statements on U.S. domestic issuer forms with the SEC, which are more detailed and extensive than the forms required to be filed by a foreign private issuer. For example, the annual report on Form 10-K requires domestic issuers to disclose executive compensation information on an individual basis with specific disclosure regarding the domestic compensation philosophy, objectives, annual total compensation (base salary, bonus, and equity compensation) and potential payments in connection with change in control, retirement, death or disability, while the annual report on Form 20-F permits foreign private issuers to disclose compensation information on an aggregate basis. We may also be required to modify certain of our policies to comply with good governance practices associated with U.S. domestic issuers. Such conversion and modifications will involve additional costs. In addition, we may lose our ability to rely upon exemptions from certain corporate governance requirements on U.S. stock exchanges that are available to foreign private issuers.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as a shareholder, as French law provides substantially different protection when compared to the laws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Republic of France. The rights of holders of shares are governed by French law, including the provisions of the articles of association. These rights differ in certain respects from the rights of shareholders in typical U.S. corporations.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affairs are governed by our Articles of Association and the Board Internal Regulations and the laws of the Republic of France, including the Commerce Code. The rights of our shareholders and the responsibilities of our directors and officers under French law are different from those applicable to a corporation incorporated in the United States. Further, under French law, there may be differences in the type, timing and format of publicly available information about us compared with that regularly published by or about U.S. issuers. In addition, the legal and regulatory framework governing the securities of French companies differs from that applicable to U.S. issuers, and French laws and regulations in respect of corporate governance matters provide protections to minority shareholders that differ in scope and operation from those available under state corporation laws in the United States. Therefore, our shareholders may face differences in the manner and extent to which they may protect their interests in connection with actions taken by our directors, officers or principal shareholders compared with shareholders of corporations incorporated in the United States. As a result of these differences, the rights and remedies available to our shareholders may differ from those available to shareholders of U.S. issuers.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may be difficult to enforce a U.S. judgment against our directors and officers outside the United States, or to assert U.S. securities law claims outside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Several of our directors and executive officers are not residents of the United States, and the majority of our assets and the assets of these persons are located outside the United States. As a result, it may be difficult or impossible for investors to effect service of process upon us within the United States or other jurisdictions, including judgments predicated upon the civil liability provisions of the federal securities laws of the United States. See “</w:t>
      </w:r>
      <w:r>
        <w:rPr>
          <w:rFonts w:ascii="Times New Roman PS Std;serif" w:hAnsi="Times New Roman PS Std;serif"/>
          <w:b w:val="false"/>
          <w:i/>
          <w:caps w:val="false"/>
          <w:smallCaps w:val="false"/>
          <w:sz w:val="20"/>
        </w:rPr>
        <w:t>Description of Our Securities</w:t>
      </w:r>
      <w:r>
        <w:rPr>
          <w:rFonts w:ascii="Times New Roman PS Std;serif" w:hAnsi="Times New Roman PS Std;serif"/>
          <w:b w:val="false"/>
          <w:i w:val="false"/>
          <w:caps w:val="false"/>
          <w:smallCaps w:val="false"/>
          <w:sz w:val="20"/>
        </w:rPr>
        <w:t>”. Additionally, it may be difficult to assert U.S. securities law claims in actions originally instituted outside of the United States. Foreign courts may refuse to hear a U.S.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investors should be aware that there is uncertainty as to whether the courts of the Republic of France would recognize and enforce judgments of U.S. courts obtained against our directors or management or against the selling shareholder predicated upon the civil liability provisions of the securities laws of the United States or any state in the United States. There is also uncertainty as to whether the courts of the Republic of France would entertain original actions against our directors or officers or against the selling shareholder predicated upon the securities laws of the United States or any state in the United States. As a result of the difficulty associated with enforcing a judgment against us, you may not be able to collect any damages awarded by either a U.S. or foreign court.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U.S. Tax Matters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or become a PFIC, which could result in adverse U.S. federal income tax consequences to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taxable year that is included in the holding period of a U.S. Holder of Ordinary Shares or Warrants, such U.S. Holder may be subject to certain adverse U.S. federal income tax consequences and may be subject to additional reporting requirements. There can be no assurance that we will not be treated as a PFIC for any taxable year. For a more detailed discussion with respect to our PFIC status, see the section entitled “</w:t>
      </w:r>
      <w:r>
        <w:rPr>
          <w:rFonts w:ascii="Times New Roman PS Std;serif" w:hAnsi="Times New Roman PS Std;serif"/>
          <w:b w:val="false"/>
          <w:i/>
          <w:caps w:val="false"/>
          <w:smallCaps w:val="false"/>
          <w:sz w:val="20"/>
        </w:rPr>
        <w:t>Material U.S. Federal Income Tax Considerations — Passive Foreign Investment Company Rules.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new tax legislation introduced by governments may change the current tax treatment, which could adversely impact our cash flow.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tax treatment is subject to the enactment of, or changes in, tax laws, regulations and treaties, or the interpretation thereof, tax policy initiatives and reforms under consideration and the practices of tax authorities in various jurisdictions, all of which could change on a prospective or retroactive basis. Such changes may include, but are not limited to, the taxation of operating income, investment income, dividends received or (in the specific context of withholding tax) dividends paid, payroll taxes, fringe benefit taxes, and changes in royalties. We are unable to predict what tax reform may be proposed or enacted in the future or what effect such changes would have on our business, but such changes, to the extent they are brought into tax legislation, regulations, policies or practices, could affect our financial position overall or effective tax rates in the future, reduce post-tax returns to our shareholders, and increase the complexity, burden and cost of tax compliance.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107"/>
      <w:bookmarkEnd w:id="7"/>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Ordinary Shares and Private Placement Warrants offered by the Selling Securityholders pursuant to this prospectus will be sold by the Selling Securityholders for their respective accounts. We will not receive any of the proceeds from these sales. We will pay certain expenses associated with the registration of the securities as described in the section titled “Plan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up to an aggregate of approximately $199.3 million or €171.6 million from the exercise of the Warrants, assuming the exercise in full of all of the Warrants for cash. We will receive up to an aggregate of approximately $390.6 million or €336.3 million from the exercise of the Investment Warrants, assuming an exercise price of $7.80 per Ordinary Share and assuming the exercise in full of all of the Investment Warrants for cash. We expect to use the net proceeds from such exercises for general corporate purposes. We will have broad discretion over the use of proceeds from such exercises. There is no assurance that the holders of the Warrants or the Investment Warrants will elect to exercise any or all of such Warrants or Investment Warrants. To the extent that the Warrants or the Investment Warrants are exercised on a “cashless basis,” the amount of cash we would receive from such exercises will decrease.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108"/>
      <w:bookmarkEnd w:id="8"/>
      <w:r>
        <w:rPr>
          <w:rFonts w:ascii="Times New Roman PS Std;serif" w:hAnsi="Times New Roman PS Std;serif"/>
          <w:b/>
          <w:i w:val="false"/>
          <w:caps w:val="false"/>
          <w:smallCaps w:val="false"/>
          <w:sz w:val="20"/>
        </w:rPr>
        <w:t xml:space="preserve">MARKET INFORMATION FOR SECURITIES AND DIVIDEND POLICY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and Public Warrants are currently listed on Nasdaq under the symbols “PSQL” and “PSQLW,”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paid any cash dividends on the Ordinary Shares to date. We may retain future earnings, if any, for future operations, expansion and debt repayment and have no current plans to pay cash dividends for the foreseeable future. The payment terms for dividends approved by the general meeting of shareholders are determined by the general meeting of shareholders or, failing that, by the Board of Directors. However, cash dividends must be paid within a maximum of nine months after the close of the financial year, unless this period is extended by court order. Payment of dividends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We do not anticipate declaring any cash dividends to holders of the Ordinary Shares in the foreseeable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109"/>
      <w:bookmarkEnd w:id="9"/>
      <w:r>
        <w:rPr>
          <w:rFonts w:ascii="Times New Roman PS Std;serif" w:hAnsi="Times New Roman PS Std;serif"/>
          <w:b/>
          <w:i w:val="false"/>
          <w:caps w:val="false"/>
          <w:smallCaps w:val="false"/>
          <w:sz w:val="20"/>
        </w:rPr>
        <w:t xml:space="preserve">MANAGEMENT’S DISCUSSION AND ANALYSIS OF </w:t>
        <w:br/>
        <w:t>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References in this Management’s Discussion and Analysis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Financial Condition and Results of Operations (this “Discussion and Analysis”)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to “Pasqal”, “the Company”, “we”, “us”, or “our” refer to Legacy Pasqal and its subsidiaries prior to the completion of the Business Combination (each as defined below) and to Pasqal Holding SA, a French société anonyme (“</w:t>
      </w:r>
      <w:r>
        <w:rPr>
          <w:rFonts w:ascii="Times New Roman PS Std;serif" w:hAnsi="Times New Roman PS Std;serif"/>
          <w:b/>
          <w:i/>
          <w:caps w:val="false"/>
          <w:smallCaps w:val="false"/>
          <w:sz w:val="20"/>
        </w:rPr>
        <w:t>New Pasqal</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its subsidiaries after giving effect to the Business Combination. This Discussion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Analysis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provides information which Pasqal’s management believes is relevant to an assessment and understanding of its results of operations and financial condition. This Discussion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Analysis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should be read together with the sections of this prospectus entitled “Our Business”, Pasqal’s unaudited half-year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condensed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consolidated financial statements and related notes thereto that are included in this prospectus, as well as its audited consolidated financial statements and the related notes thereto for the years ended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31, 2025 and 2024, and the section in this prospectus entitled “Risk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 addition to historical consolidated financial information, this Discussion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Analysis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contains forward-looking</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statements based upon current expectations that involve risks, uncertainties and assumptions. See the section in this prospectus entitled “Cautionary Note Regarding Forward-Looking</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Statements.” Actual results and timing of selected events may differ materially from those anticipated in these forward-looking</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statements as a result of various factors, including those set forth under “Risk Factors” or elsewhere in this prospectus.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Discrepancies in any table between totals and sums or differences of the amounts are due to rounding.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builds and develops neutral-atom quantum processing units (“</w:t>
      </w:r>
      <w:r>
        <w:rPr>
          <w:rFonts w:ascii="Times New Roman PS Std;serif" w:hAnsi="Times New Roman PS Std;serif"/>
          <w:b/>
          <w:i w:val="false"/>
          <w:caps w:val="false"/>
          <w:smallCaps w:val="false"/>
          <w:sz w:val="20"/>
        </w:rPr>
        <w:t>QPUs</w:t>
      </w:r>
      <w:r>
        <w:rPr>
          <w:rFonts w:ascii="Times New Roman PS Std;serif" w:hAnsi="Times New Roman PS Std;serif"/>
          <w:b w:val="false"/>
          <w:i w:val="false"/>
          <w:caps w:val="false"/>
          <w:smallCaps w:val="false"/>
          <w:sz w:val="20"/>
        </w:rPr>
        <w:t>”), designed to deliver scalable quantum computing capabilities. Its technology is designed to support deployment in standard data center environments and enable high-performance quantum computing across a range of applications.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employs a modular approach to its neutral-atom processors, enabling the expansion of qubit arrays without compromising performance or fidelity. Its technology supports the arrangement of large numbers of neutral atoms in both two- and three-dimensional configurations, paving the way for systems with tens of thousands of physical qubits and hundreds of logical qubits by the end of this decade.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neutral-atom technology is designed to address complex computational challenges across a range of industries, such as energy and utilities, finance, high value materials and manufacturing, healthcare and pharmaceuticals, logistics, aerospace and defense, and artificial intelligence. Pasqal works with a diverse set of customers and strategic partners globally, including IBM (Pasqal is part of the IBM quantum network), NVIDIA, Google, Microsoft, and leading high-performance computing centers such as GENCI/CEA (“</w:t>
      </w:r>
      <w:r>
        <w:rPr>
          <w:rFonts w:ascii="Times New Roman PS Std;serif" w:hAnsi="Times New Roman PS Std;serif"/>
          <w:b/>
          <w:i w:val="false"/>
          <w:caps w:val="false"/>
          <w:smallCaps w:val="false"/>
          <w:sz w:val="20"/>
        </w:rPr>
        <w:t>GENCI</w:t>
      </w:r>
      <w:r>
        <w:rPr>
          <w:rFonts w:ascii="Times New Roman PS Std;serif" w:hAnsi="Times New Roman PS Std;serif"/>
          <w:b w:val="false"/>
          <w:i w:val="false"/>
          <w:caps w:val="false"/>
          <w:smallCaps w:val="false"/>
          <w:sz w:val="20"/>
        </w:rPr>
        <w:t xml:space="preserve">”), CINECA, and Forschungszentrum Jülich.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continues to invest in research partnerships and cloud-delivery capabilities to advance the practical adoption of quantum computing and expand the range of real-world applications supported by its technology.</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Reorganization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signing of the Agreement and Plan of Merger (as amended, the “</w:t>
      </w:r>
      <w:r>
        <w:rPr>
          <w:rFonts w:ascii="Times New Roman PS Std;serif" w:hAnsi="Times New Roman PS Std;serif"/>
          <w:b/>
          <w:i w:val="false"/>
          <w:caps w:val="false"/>
          <w:smallCaps w:val="false"/>
          <w:sz w:val="20"/>
        </w:rPr>
        <w:t>Business Combination Agreement</w:t>
      </w:r>
      <w:r>
        <w:rPr>
          <w:rFonts w:ascii="Times New Roman PS Std;serif" w:hAnsi="Times New Roman PS Std;serif"/>
          <w:b w:val="false"/>
          <w:i w:val="false"/>
          <w:caps w:val="false"/>
          <w:smallCaps w:val="false"/>
          <w:sz w:val="20"/>
        </w:rPr>
        <w:t>”), on February 28, 2026, Pasqal SAS effected an internal reorganization (the “</w:t>
      </w:r>
      <w:r>
        <w:rPr>
          <w:rFonts w:ascii="Times New Roman PS Std;serif" w:hAnsi="Times New Roman PS Std;serif"/>
          <w:b/>
          <w:i w:val="false"/>
          <w:caps w:val="false"/>
          <w:smallCaps w:val="false"/>
          <w:sz w:val="20"/>
        </w:rPr>
        <w:t>Pasqal Reorganization</w:t>
      </w:r>
      <w:r>
        <w:rPr>
          <w:rFonts w:ascii="Times New Roman PS Std;serif" w:hAnsi="Times New Roman PS Std;serif"/>
          <w:b w:val="false"/>
          <w:i w:val="false"/>
          <w:caps w:val="false"/>
          <w:smallCaps w:val="false"/>
          <w:sz w:val="20"/>
        </w:rPr>
        <w:t>”), pursuant to which Pasqal SAS and its subsidiaries became the wholly-owned subsidiaries of Pasqal Holding SAS, a French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and a new holding company (“</w:t>
      </w:r>
      <w:r>
        <w:rPr>
          <w:rFonts w:ascii="Times New Roman PS Std;serif" w:hAnsi="Times New Roman PS Std;serif"/>
          <w:b/>
          <w:i w:val="false"/>
          <w:caps w:val="false"/>
          <w:smallCaps w:val="false"/>
          <w:sz w:val="20"/>
        </w:rPr>
        <w:t>Legacy Pasqal</w:t>
      </w:r>
      <w:r>
        <w:rPr>
          <w:rFonts w:ascii="Times New Roman PS Std;serif" w:hAnsi="Times New Roman PS Std;serif"/>
          <w:b w:val="false"/>
          <w:i w:val="false"/>
          <w:caps w:val="false"/>
          <w:smallCaps w:val="false"/>
          <w:sz w:val="20"/>
        </w:rPr>
        <w:t>”). Following the consummation of the Pasqal Reorganization, Legacy Pasqal owned 100% of the share capital of Pasqal SAS and its subsidiaries.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Business Combination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27, 2026 (the “</w:t>
      </w:r>
      <w:r>
        <w:rPr>
          <w:rFonts w:ascii="Times New Roman PS Std;serif" w:hAnsi="Times New Roman PS Std;serif"/>
          <w:b/>
          <w:i w:val="false"/>
          <w:caps w:val="false"/>
          <w:smallCaps w:val="false"/>
          <w:sz w:val="20"/>
        </w:rPr>
        <w:t>Closing Date</w:t>
      </w:r>
      <w:r>
        <w:rPr>
          <w:rFonts w:ascii="Times New Roman PS Std;serif" w:hAnsi="Times New Roman PS Std;serif"/>
          <w:b w:val="false"/>
          <w:i w:val="false"/>
          <w:caps w:val="false"/>
          <w:smallCaps w:val="false"/>
          <w:sz w:val="20"/>
        </w:rPr>
        <w:t>”), Bleichroeder Acquisition Corp. II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a special purpose acquisition company, Bleichroeder Acquisition France Merger Sub 2 (“</w:t>
      </w:r>
      <w:r>
        <w:rPr>
          <w:rFonts w:ascii="Times New Roman PS Std;serif" w:hAnsi="Times New Roman PS Std;serif"/>
          <w:b/>
          <w:i w:val="false"/>
          <w:caps w:val="false"/>
          <w:smallCaps w:val="false"/>
          <w:sz w:val="20"/>
        </w:rPr>
        <w:t>Merger Sub</w:t>
      </w:r>
      <w:r>
        <w:rPr>
          <w:rFonts w:ascii="Times New Roman PS Std;serif" w:hAnsi="Times New Roman PS Std;serif"/>
          <w:b w:val="false"/>
          <w:i w:val="false"/>
          <w:caps w:val="false"/>
          <w:smallCaps w:val="false"/>
          <w:sz w:val="20"/>
        </w:rPr>
        <w:t>”), a wholly-owned subsidiary of Bleichroeder, and Pasqal consummated the Business Combination, pursuant to which, among other things: (i) Bleichroeder merged with and into Merger Sub (the “</w:t>
      </w:r>
      <w:r>
        <w:rPr>
          <w:rFonts w:ascii="Times New Roman PS Std;serif" w:hAnsi="Times New Roman PS Std;serif"/>
          <w:b/>
          <w:i w:val="false"/>
          <w:caps w:val="false"/>
          <w:smallCaps w:val="false"/>
          <w:sz w:val="20"/>
        </w:rPr>
        <w:t>Reincorporation Merger</w:t>
      </w:r>
      <w:r>
        <w:rPr>
          <w:rFonts w:ascii="Times New Roman PS Std;serif" w:hAnsi="Times New Roman PS Std;serif"/>
          <w:b w:val="false"/>
          <w:i w:val="false"/>
          <w:caps w:val="false"/>
          <w:smallCaps w:val="false"/>
          <w:sz w:val="20"/>
        </w:rPr>
        <w:t>”), with Merger Sub remaining as the surviving company (the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Surviving Corporation</w:t>
      </w:r>
      <w:r>
        <w:rPr>
          <w:rFonts w:ascii="Times New Roman PS Std;serif" w:hAnsi="Times New Roman PS Std;serif"/>
          <w:b w:val="false"/>
          <w:i w:val="false"/>
          <w:caps w:val="false"/>
          <w:smallCaps w:val="false"/>
          <w:sz w:val="20"/>
        </w:rPr>
        <w:t>”) and (ii) Pasqal merged with and into Bleichroeder Surviving Corporation, with Bleichroeder Surviving Corporation continuing as the surviving entity (the “</w:t>
      </w:r>
      <w:r>
        <w:rPr>
          <w:rFonts w:ascii="Times New Roman PS Std;serif" w:hAnsi="Times New Roman PS Std;serif"/>
          <w:b/>
          <w:i w:val="false"/>
          <w:caps w:val="false"/>
          <w:smallCaps w:val="false"/>
          <w:sz w:val="20"/>
        </w:rPr>
        <w:t>Business Combination</w:t>
      </w:r>
      <w:r>
        <w:rPr>
          <w:rFonts w:ascii="Times New Roman PS Std;serif" w:hAnsi="Times New Roman PS Std;serif"/>
          <w:b w:val="false"/>
          <w:i w:val="false"/>
          <w:caps w:val="false"/>
          <w:smallCaps w:val="false"/>
          <w:sz w:val="20"/>
        </w:rPr>
        <w:t>”). Following the consummation of the Business Combination, Bleichroeder Surviving Corporation changed its name to Pasqal Holding SA.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each then issued and outstanding “Class Seed” ordinary share, common ordinary share, “Class A” ordinary share, “Class B” ordinary share and “Class C” ordinary share of Legacy Pasqal, in each case with a par value of €0.10 per share, was exchanged for New Pasqal ordinary shares using an exchange ratio of approximately 22.736, resulting in the issuance of 199,999,960 New Pasqal ordinary shares to the former shareholders of Legacy Pasqal.</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was accounted for as a capital reorganization in accordance with IFRS as issued by the IASB (as defined below). Under this method of accounting, Bleichroeder is treated as the “acquired” company for financial reporting purposes, and Legacy Pasqal is the accounting “acquirer”. The Business Combination is treated as the equivalent of New Pasqal issuing its ordinary shares in exchange for the net assets of Bleichroeder. As a result, the net assets of Bleichroeder are stated at historical cost, with no goodwill or other intangible assets recorded. In accordance with IFRS 2 (as defined below), any excess of the fair value of New Pasqal ordinary shares issued to Bleichroeder shareholders over the fair value of the identifiable net assets of Bleichroeder acquired represents compensation for the service of a stock exchange listing and is expensed as incurred.</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for the Business Combination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concurrently with the closing of the Business Combination, Pasqal consummated a financing pursuant to the securities purchase agreement dated as of March 4, 2026 and as amended on May 23, 2026 entered into by Bleichroeder and Merger Sub with certain investors (the “</w:t>
      </w:r>
      <w:r>
        <w:rPr>
          <w:rFonts w:ascii="Times New Roman PS Std;serif" w:hAnsi="Times New Roman PS Std;serif"/>
          <w:b/>
          <w:i w:val="false"/>
          <w:caps w:val="false"/>
          <w:smallCaps w:val="false"/>
          <w:sz w:val="20"/>
        </w:rPr>
        <w:t>Investors</w:t>
      </w:r>
      <w:r>
        <w:rPr>
          <w:rFonts w:ascii="Times New Roman PS Std;serif" w:hAnsi="Times New Roman PS Std;serif"/>
          <w:b w:val="false"/>
          <w:i w:val="false"/>
          <w:caps w:val="false"/>
          <w:smallCaps w:val="false"/>
          <w:sz w:val="20"/>
        </w:rPr>
        <w:t>”), whereby New Pasqal issued $312.5 million aggregate principal amount of senior unsecured convertible bonds initially convertible into 26,041,667 New Pasqal ordinary shares (the “</w:t>
      </w:r>
      <w:r>
        <w:rPr>
          <w:rFonts w:ascii="Times New Roman PS Std;serif" w:hAnsi="Times New Roman PS Std;serif"/>
          <w:b/>
          <w:i w:val="false"/>
          <w:caps w:val="false"/>
          <w:smallCaps w:val="false"/>
          <w:sz w:val="20"/>
        </w:rPr>
        <w:t>Senior Unsecured Convertible Bonds</w:t>
      </w:r>
      <w:r>
        <w:rPr>
          <w:rFonts w:ascii="Times New Roman PS Std;serif" w:hAnsi="Times New Roman PS Std;serif"/>
          <w:b w:val="false"/>
          <w:i w:val="false"/>
          <w:caps w:val="false"/>
          <w:smallCaps w:val="false"/>
          <w:sz w:val="20"/>
        </w:rPr>
        <w:t>”) and 32,552,083 warrants initially exercisable at $12.00 per New Pasqal ordinary share (the “</w:t>
      </w:r>
      <w:r>
        <w:rPr>
          <w:rFonts w:ascii="Times New Roman PS Std;serif" w:hAnsi="Times New Roman PS Std;serif"/>
          <w:b/>
          <w:i w:val="false"/>
          <w:caps w:val="false"/>
          <w:smallCaps w:val="false"/>
          <w:sz w:val="20"/>
        </w:rPr>
        <w:t>Investment Warrants</w:t>
      </w:r>
      <w:r>
        <w:rPr>
          <w:rFonts w:ascii="Times New Roman PS Std;serif" w:hAnsi="Times New Roman PS Std;serif"/>
          <w:b w:val="false"/>
          <w:i w:val="false"/>
          <w:caps w:val="false"/>
          <w:smallCaps w:val="false"/>
          <w:sz w:val="20"/>
        </w:rPr>
        <w:t>”), for an aggregate subscription price of $250.0 million, reflecting a 20% original issue discount in the private placement (the “</w:t>
      </w:r>
      <w:r>
        <w:rPr>
          <w:rFonts w:ascii="Times New Roman PS Std;serif" w:hAnsi="Times New Roman PS Std;serif"/>
          <w:b/>
          <w:i w:val="false"/>
          <w:caps w:val="false"/>
          <w:smallCaps w:val="false"/>
          <w:sz w:val="20"/>
        </w:rPr>
        <w:t>March 2026 Financing</w:t>
      </w:r>
      <w:r>
        <w:rPr>
          <w:rFonts w:ascii="Times New Roman PS Std;serif" w:hAnsi="Times New Roman PS Std;serif"/>
          <w:b w:val="false"/>
          <w:i w:val="false"/>
          <w:caps w:val="false"/>
          <w:smallCaps w:val="false"/>
          <w:sz w:val="20"/>
        </w:rPr>
        <w:t>”). The Investment Warrants are currently exercisable and will expire five years from the Closing Date.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Senior Unsecured Convertible Bonds and the Investment Warrants were accounted for in accordance with International Accounting Standards (“</w:t>
      </w:r>
      <w:r>
        <w:rPr>
          <w:rFonts w:ascii="Times New Roman PS Std;serif" w:hAnsi="Times New Roman PS Std;serif"/>
          <w:b/>
          <w:i w:val="false"/>
          <w:caps w:val="false"/>
          <w:smallCaps w:val="false"/>
          <w:sz w:val="20"/>
        </w:rPr>
        <w:t>IAS</w:t>
      </w:r>
      <w:r>
        <w:rPr>
          <w:rFonts w:ascii="Times New Roman PS Std;serif" w:hAnsi="Times New Roman PS Std;serif"/>
          <w:b w:val="false"/>
          <w:i w:val="false"/>
          <w:caps w:val="false"/>
          <w:smallCaps w:val="false"/>
          <w:sz w:val="20"/>
        </w:rPr>
        <w:t>”) 32, </w:t>
      </w:r>
      <w:r>
        <w:rPr>
          <w:rFonts w:ascii="Times New Roman PS Std;serif" w:hAnsi="Times New Roman PS Std;serif"/>
          <w:b w:val="false"/>
          <w:i/>
          <w:caps w:val="false"/>
          <w:smallCaps w:val="false"/>
          <w:sz w:val="20"/>
        </w:rPr>
        <w:t>Financial Instruments: Presentation</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IAS 32</w:t>
      </w:r>
      <w:r>
        <w:rPr>
          <w:rFonts w:ascii="Times New Roman PS Std;serif" w:hAnsi="Times New Roman PS Std;serif"/>
          <w:b w:val="false"/>
          <w:i w:val="false"/>
          <w:caps w:val="false"/>
          <w:smallCaps w:val="false"/>
          <w:sz w:val="20"/>
        </w:rPr>
        <w:t>”) and International Financial Reporting Standards (“</w:t>
      </w:r>
      <w:r>
        <w:rPr>
          <w:rFonts w:ascii="Times New Roman PS Std;serif" w:hAnsi="Times New Roman PS Std;serif"/>
          <w:b/>
          <w:i w:val="false"/>
          <w:caps w:val="false"/>
          <w:smallCaps w:val="false"/>
          <w:sz w:val="20"/>
        </w:rPr>
        <w:t>IFRS</w:t>
      </w:r>
      <w:r>
        <w:rPr>
          <w:rFonts w:ascii="Times New Roman PS Std;serif" w:hAnsi="Times New Roman PS Std;serif"/>
          <w:b w:val="false"/>
          <w:i w:val="false"/>
          <w:caps w:val="false"/>
          <w:smallCaps w:val="false"/>
          <w:sz w:val="20"/>
        </w:rPr>
        <w:t>”) 9, </w:t>
      </w:r>
      <w:r>
        <w:rPr>
          <w:rFonts w:ascii="Times New Roman PS Std;serif" w:hAnsi="Times New Roman PS Std;serif"/>
          <w:b w:val="false"/>
          <w:i/>
          <w:caps w:val="false"/>
          <w:smallCaps w:val="false"/>
          <w:sz w:val="20"/>
        </w:rPr>
        <w:t>Financial Instruments</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IFRS 9</w:t>
      </w:r>
      <w:r>
        <w:rPr>
          <w:rFonts w:ascii="Times New Roman PS Std;serif" w:hAnsi="Times New Roman PS Std;serif"/>
          <w:b w:val="false"/>
          <w:i w:val="false"/>
          <w:caps w:val="false"/>
          <w:smallCaps w:val="false"/>
          <w:sz w:val="20"/>
        </w:rPr>
        <w:t>”). The Senior Unsecured Convertible Bonds require settlement through the delivery of a variable number of New Pasqal’s own equity instruments and do not meet the criteria for equity classification. Accordingly, the host convertible bond is qualified for and classified as a financial liability in accordance with IAS 32 and is designated as a financial liability measured at fair value through profit or loss (“</w:t>
      </w:r>
      <w:r>
        <w:rPr>
          <w:rFonts w:ascii="Times New Roman PS Std;serif" w:hAnsi="Times New Roman PS Std;serif"/>
          <w:b/>
          <w:i w:val="false"/>
          <w:caps w:val="false"/>
          <w:smallCaps w:val="false"/>
          <w:sz w:val="20"/>
        </w:rPr>
        <w:t>FVTPL</w:t>
      </w:r>
      <w:r>
        <w:rPr>
          <w:rFonts w:ascii="Times New Roman PS Std;serif" w:hAnsi="Times New Roman PS Std;serif"/>
          <w:b w:val="false"/>
          <w:i w:val="false"/>
          <w:caps w:val="false"/>
          <w:smallCaps w:val="false"/>
          <w:sz w:val="20"/>
        </w:rPr>
        <w:t>”), with transaction costs expensed as incurred, if any. The Investment Warrants are freestanding instruments that do not meet the fixed-for-fixed criterion for equity classification and are classified as derivative financial liabilities measured at FVTPL.</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initial recognition, both instruments are measured at their respective fair values. Any difference between the total proceeds received and the aggregate fair value of the Senior Unsecured Convertible Bonds and the Investment Warrants at issuance results in a day-one gain or loss. A day-one gain or loss may be deferred in accordance with IFRS 9 when the fair value measurement includes significant unobservable inputs and recognized in profit or loss over the term of the instruments. However, when the most significant inputs to the fair value measurement become observable, any such day-one gain or loss should be recognized immediately in profit or loss. As the closing of the Business Combination results in the share price of New Pasqal ordinary shares, which represents the most significant input to the fair value measurement for both instruments, becoming observable, the day-one loss is recognized immediately in profit or loss. Accordingly, the Senior Unsecured Convertible Bonds and the Investment Warrants are initially recognized at their respective fair values and the related day-one loss is recognized in profit or loss immediately upon the closing of the Business Combination.</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Technological Achievements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Pasqal’s potential commercial opportunities depend on its ability to demonstrate the technological feasibility and performance of its neutral-atom quantum computing platform and to continue advancing its technology in a timely manner in order to remain competitive in a rapidly evolving industry. Achieving these objectives requires the successful execution of several technological milestones, including scaling hardware capacity, improving qubit performance, and further developing the software and cloud infrastructure supporting Pasqal’s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technology development strategy combines two complementary approaches. In the near term, Pasqal is advancing analog quantum computing capabilities based on physical qubits, which may support the development of initial commercial applications. At the same time, Pasqal continues to pursue a longer-term roadmap focused on digital fault-tolerant quantum computing, which aims to address errors that may occur during quantum computations.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Progress along this roadmap is generally assessed through a number of technical performance indicators, including the number of qubits available in a system, the repetition rate of quantum operations, and the fidelity of quantum gate operations. Improvements in these metrics are expected to contribute over time to the performance and scalability of Pasqal’s quantum computing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also investing in a range of supporting technologies designed to enhance the performance and scalability of its hardware platform. Among these technologies are photonic integrated circuits (“</w:t>
      </w:r>
      <w:r>
        <w:rPr>
          <w:rFonts w:ascii="Times New Roman PS Std;serif" w:hAnsi="Times New Roman PS Std;serif"/>
          <w:b/>
          <w:i w:val="false"/>
          <w:caps w:val="false"/>
          <w:smallCaps w:val="false"/>
          <w:sz w:val="20"/>
        </w:rPr>
        <w:t>PICs</w:t>
      </w:r>
      <w:r>
        <w:rPr>
          <w:rFonts w:ascii="Times New Roman PS Std;serif" w:hAnsi="Times New Roman PS Std;serif"/>
          <w:b w:val="false"/>
          <w:i w:val="false"/>
          <w:caps w:val="false"/>
          <w:smallCaps w:val="false"/>
          <w:sz w:val="20"/>
        </w:rPr>
        <w:t>”), which are being explored as part of Pasqal’s hardware architecture and may contribute to improved qubit control and system integration. PICs represent one element within a broader set of enabling technologies under development as part of Pasqal’s research and development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quantum computing industry remains subject to significant technological uncertainty and rapid innovation. Competing quantum computing architectures, as well as alternative computing approaches, including advances in classical high-performance computing and artificial intelligence, may affect the pace of adoption of quantum computing technologies. As a result, Pasqal’s ability to develop commercially viable solutions will depend in part on its capacity to execute its technology roadmap while adapting to technological developments and competitive dynamics within the broader computing landscape.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NVIDIA’s CUDA-Q Integration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Pasqal announced the integration of NVIDIA’s CUDA-Q platform with its Quantum Resource Management Interface runtime, enabling quantum workloads to be scheduled and orchestrated on Pasqal quantum systems through standard high-performance computing (“</w:t>
      </w:r>
      <w:r>
        <w:rPr>
          <w:rFonts w:ascii="Times New Roman PS Std;serif" w:hAnsi="Times New Roman PS Std;serif"/>
          <w:b/>
          <w:i w:val="false"/>
          <w:caps w:val="false"/>
          <w:smallCaps w:val="false"/>
          <w:sz w:val="20"/>
        </w:rPr>
        <w:t>HPC</w:t>
      </w:r>
      <w:r>
        <w:rPr>
          <w:rFonts w:ascii="Times New Roman PS Std;serif" w:hAnsi="Times New Roman PS Std;serif"/>
          <w:b w:val="false"/>
          <w:i w:val="false"/>
          <w:caps w:val="false"/>
          <w:smallCaps w:val="false"/>
          <w:sz w:val="20"/>
        </w:rPr>
        <w:t>”) workflows. The integration is designed to facilitate hybrid GPU-QPU computing environments and support broader adoption of quantum computing within existing HPC infrastructures. Pasqal expects to deploy its on-premises software stack at CINECA, integrating its quantum processor with the Leonardo supercomputer to support hybrid GPU-QPU workloads.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Experimental Validation of Quantum Simulation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Pasqal and its academic partners used up to 256 atoms on Pasqal’s Orion Beta QPUs to simulate the magnetic material TmMgGaO₄ and compared the results against laboratory measurements on crystals of that material. The work was conducted with Los Alamos National Laboratory, the National High Magnetic Field Laboratory at Florida State University and the University of Tennessee, and was among the studies cited by Nature on March 30, 2026 in its coverage of quantum simulations being verified against experimental data for the first time.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Strategic Collaboration with True Nexus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9, 2026, Pasqal entered into a strategic collaboration with True Nexus to apply quantum computing technology to the modeling and prediction of protein functionality in food applications. As part of the collaboration, the parties achieved an initial milestone by successfully encoding selected protein structures associated with protein gelation on Pasqal’s quantum hardware, representing an early step toward developing computational tools to predict and optimize protein functionality for food and biotechnology applications.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PROQCIMA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2026, Pasqal announced its plans to shift its areas of collaboration with the French public authorities to now focus on commercial applications. This evolution included the termination of Pasqal’s participation in the defense program LSQUARE (otherwise known as PROQCIMA). Pasqal participated in the first phase of the program and successfully completed all associated technological objectives.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Scaling of the Qubit Register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2026, Pasqal prepared defect-free registers of 1,024 atoms, doubling its previous result of 506 atoms, and extended atom lifetimes approximately 40-fold through a redesigned cryogenic platform. Registers at this scale provide the overhead in physical qubits required for quantum error correction.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XPRIZE Quantum Applications 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2026, Pasqal was selected as one of five wildcard finalists, from 62 wildcard submissions, to advance into Phase II of the XPRIZE Quantum Applications competition, a three-year, $5 million global competition evaluating quantified impact, hardware feasibility and advantage over classical approaches.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Computing Deployment in Saudi Arabia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18, 2026, Pasqal and Saudi Arabian Oil Company inaugurated Saudi Arabia’s first quantum computer and launched the region’s first commercial Quantum Computing as a Service (QCaaS) platform. The platform, powered by Pasqal’s 200-qubit neutral-atom quantum processor and hosted at Aramco’s data center in Dhahran, provides cloud-based access to quantum computing capabilities for industrial, research, and commercial applications. The collaboration supports the development of quantum use cases across energy, materials, logistics, and other industrial sectors.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Milestone in Logical Qubit Computing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21, 2026, Pasqal announced that it had successfully executed a full machine-learning application for solving differential equations using logical qubits and demonstrated that the logical implementation outperformed its physical-qubit counterparts, in what the Company believes to be the first such comparison on a full application rather than on isolated sub-routines. Progress toward fault-tolerant architectures remains subject to substantial further technical development.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Deployment of Quantum Computer at CINECA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2026, Pasqal announced the inauguration of Italy’s first neutral-atom quantum computer, a 140-qubit system deployed at CINECA, Italy’s largest public supercomputing center. The system is intended to be integrated with the Leonardo supercomputer to support hybrid quantum and HPC workloads and forms part of the EuroHPC initiative to expand Europe’s federated HPC-quantum infrastructure. Upon commissioning, the deployment will represent Pasqal’s third EuroHPC-linked quantum system in Europe and will further expand the Company’s installed base of quantum computing systems.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Aeponyx PICs Packaging Center of Competency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 2026, Pasqal launched, through its Canadian subsidiary Aeponyx Enterprises Inc. (“</w:t>
      </w:r>
      <w:r>
        <w:rPr>
          <w:rFonts w:ascii="Times New Roman PS Std;serif" w:hAnsi="Times New Roman PS Std;serif"/>
          <w:b/>
          <w:i w:val="false"/>
          <w:caps w:val="false"/>
          <w:smallCaps w:val="false"/>
          <w:sz w:val="20"/>
        </w:rPr>
        <w:t>Aeponyx</w:t>
      </w:r>
      <w:r>
        <w:rPr>
          <w:rFonts w:ascii="Times New Roman PS Std;serif" w:hAnsi="Times New Roman PS Std;serif"/>
          <w:b w:val="false"/>
          <w:i w:val="false"/>
          <w:caps w:val="false"/>
          <w:smallCaps w:val="false"/>
          <w:sz w:val="20"/>
        </w:rPr>
        <w:t>”), a Center of Competency in PICs Packaging at the C2MI in Bromont, Quebec, intended to establish a domestic Canadian supply chain supporting the photonic layer of Pasqal’s hardware roadmap. In August 2026, Pasqal trapped individual atoms using laser light generated by a PIC, holding four rubidium atoms in four optical traps from a single photonic chip with lifetimes of approximately 27.5 seconds, matching the Company’s bulk-optics systems. The platform was co-developed with Aeponyx, acquired less than 18 months earlier, and reduces the optical footprint by up to a factor of 50, addressing a principal constraint on manufacturing neutral-atom processors at industrial scale.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Trends and Key Factors Affecting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business is supported by continued growth in commercial activity through (i) sales of QPUs and (ii) sales of QPU-related services mainly consisting of research and development services and QPU upgrade services. Pasqal’s revenue was €4.9 million for the six months ended June 30, 2026 compared to €4.3 million for the six months ended June 30, 2025; the 14% revenue growth was primarily attributable to the timing of revenue recognition associated with the QPU upgrade under the Forschungszentrum Jülich contract. Revenue may fluctuate between periods based on project milestones and the performance of services. For example, although the Saudi Arabian Oil Company QPUs were commissioned during the period and entered its operational phase, the revenue associated with the related services is expected to be recognized in future periods as those services are performed.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Funding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portion of Pasqal’s business is conducted with various governments, consisting of the governments and government agencies in Europe, Canada, United States of America, and South Korea. Since many of Pasqal’s government customers and government funding programs are subject to budget constraints, Pasqal’s continued performance under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contracts or award of additional contracts from these agencies, could be jeopardized by governmental regulations, public procurement processes and spending reductions or budget cutbacks from the governments and government agencies. As a result, the changes in government spending levels and the timely funding thereof could impact Pasqal’s financial performance. The long-term outlook for Pasqal’s business is influenced by government funding priorities, the diversity of Pasqal’s programs and customers, and Pasqal’s ability to evolve its products and services and successfully execute on its contracts.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Strategic Partnerships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future growth depends in part on its ability to identify, establish, and maintain strategic partnerships. Historically, Pasqal has relied upon third parties to operate its platform, house some of its systems, provide its services, and provide certain specialized components, such as laser components, to operate its business. Any disruption to, or interference with, Pasqal’s reliance on these third-party providers or facilities could adversely affect its business, results of operations, and financial condition. Pasqal expects to continue evaluating and pursuing additional academic, institutional, and commercial partnership opportunities that are complementary to its technology roadmap and long-term business objectives.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Collaboration with KACST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12, 2026, Pasqal entered into a research collaboration agreement with King Abdulaziz City for Science and Technology (“KACST”), represented by its National Center for Quantum Technologies, to advance research and development in quantum technologies in the Kingdom of Saudi Arabia. The collaboration focuses on the development and validation of quantum-safe cryptographic solutions by combining Pasqal’s neutral-atom quantum computing technology and cloud services with KACST’s research infrastructure. The agreement further expands the Company’s presence in Saudi Arabia and complements its existing activities in the region, including the deployment of QPUs with the Saudi Arabian Oil Company. While the collaboration reflects the parties’ shared intention to explore broader opportunities in quantum technologies, the agreement does not provide for any commercial commitments, and there can be no assurance that the collaboration will result in future commercial arrangements or products.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Memorandum of Understanding with Eleven Ventures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24, 2026, Pasqal announced a memorandum of understanding (the “</w:t>
      </w:r>
      <w:r>
        <w:rPr>
          <w:rFonts w:ascii="Times New Roman PS Std;serif" w:hAnsi="Times New Roman PS Std;serif"/>
          <w:b/>
          <w:i w:val="false"/>
          <w:caps w:val="false"/>
          <w:smallCaps w:val="false"/>
          <w:sz w:val="20"/>
        </w:rPr>
        <w:t>Saudi MoU</w:t>
      </w:r>
      <w:r>
        <w:rPr>
          <w:rFonts w:ascii="Times New Roman PS Std;serif" w:hAnsi="Times New Roman PS Std;serif"/>
          <w:b w:val="false"/>
          <w:i w:val="false"/>
          <w:caps w:val="false"/>
          <w:smallCaps w:val="false"/>
          <w:sz w:val="20"/>
        </w:rPr>
        <w:t>”) with Eleven Ventures, a Kingdom of Saudi Arabia based investment platform and venture capital firm, to establish a commercial joint venture to deploy, commercialize, and scale our quantum computing systems across the Kingdom of Saudi Arabia and the wider region. No definitive agreements have been entered into and, accordingly, no financial effect has been recognized.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Strategic Partnership with USA Rare Earth and Riven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17, 2026, Pasqal announced a strategic partnership with USA Rare Earth and Riven Systems to develop next-generation separation technology for the rare earth value chain. Using quantum machine learning, the project aims to identify new separation molecules that bind more effectively to rare earths than existing alternatives, enabling smaller, lower-cost, less energy-intensive processing facilities. The partnership brings together Riven Systems’ self-driving minerals separation laboratory and Pasqal’s quantum computing power with USA Rare Earth’s rare earth processing expertise. Under the planned project, Riven Systems would conduct thousands of automated experiments and generate the training data needed to build machine learning models of extractant selectivity for rare earth elements. Pasqal’s neutral atom QPU would then benchmark quantum machine learning models against classical computing-based models (each trained on data from the self-driving lab) to support USA Rare Earth in optimizing extractant selection.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Macroeconomic Considerations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results of operations may be affected by broader macroeconomic, geopolitical, and industry conditions, including inflation, U.S. custom tariffs, interest rates, supply chain constraints, evolving trade policies, government funding priorities, and global economic uncertainty. In addition, a portion of Pasqal’s operations and revenues is derived from projects in Saudi Arabia, and developments in the Middle East could affect project execution timelines or future contract opportunities. While Pasqal has not experienced material disruptions to date, these factors could impact future operating results, liquidity, and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conducts business through one operating segment, which is the development and implementation of quantum computing solutions. Its activities have been conducted primarily in France. Pasqal’s historical results are reported in IFRS Accounting Standards as issued by the International Accounting Standards Board (“</w:t>
      </w:r>
      <w:r>
        <w:rPr>
          <w:rFonts w:ascii="Times New Roman PS Std;serif" w:hAnsi="Times New Roman PS Std;serif"/>
          <w:b/>
          <w:i w:val="false"/>
          <w:caps w:val="false"/>
          <w:smallCaps w:val="false"/>
          <w:sz w:val="20"/>
        </w:rPr>
        <w:t>IASB</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generates revenue primarily through (i) sales of QPUs and (ii) sales of QPU-related services mainly consisting of cloud services or cloud access to QPUs, research and development, software and algorithms, and operating, maintenance and QPU upgrade services. Pasqal’s suite of products and services includes production-ready neutral atom quantum computers, its comprehensive accompanying software suite, which includes powerful solvers, developer quantum software development kits and scalable emulation tools, and cloud computing solutions. Pasqal’s product and service offerings are sold both directly to enterprise and research customers, and through partnerships with external software providers and hyperscalers who resell and integrate Pasqal’s quantum capabilities into broader solutions. Pasqal also generates revenue from sales of its cryogenic systems used in quantum technology research (“</w:t>
      </w:r>
      <w:r>
        <w:rPr>
          <w:rFonts w:ascii="Times New Roman PS Std;serif" w:hAnsi="Times New Roman PS Std;serif"/>
          <w:b/>
          <w:i w:val="false"/>
          <w:caps w:val="false"/>
          <w:smallCaps w:val="false"/>
          <w:sz w:val="20"/>
        </w:rPr>
        <w:t>Cryostat</w:t>
      </w:r>
      <w:r>
        <w:rPr>
          <w:rFonts w:ascii="Times New Roman PS Std;serif" w:hAnsi="Times New Roman PS Std;serif"/>
          <w:b w:val="false"/>
          <w:i w:val="false"/>
          <w:caps w:val="false"/>
          <w:smallCaps w:val="false"/>
          <w:sz w:val="20"/>
        </w:rPr>
        <w:t>”), which is recognized at a point in time when control transfers to the customer, generally upon delivery or acceptance as specified in the contract.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primary revenue streams and related recognition policies are as follows: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 xml:space="preserve">Sales of QPUs — </w:t>
      </w:r>
      <w:r>
        <w:rPr>
          <w:rFonts w:ascii="Times New Roman PS Std;serif" w:hAnsi="Times New Roman PS Std;serif"/>
          <w:b w:val="false"/>
          <w:i w:val="false"/>
          <w:caps w:val="false"/>
          <w:smallCaps w:val="false"/>
          <w:sz w:val="20"/>
        </w:rPr>
        <w:t>Revenue is recognized at a point in time when control transfers to the customer, generally upon installation of the QPUs and acceptance by the customer, as specified in the contract.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Sales of QPU-related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services — </w:t>
      </w:r>
      <w:r>
        <w:rPr>
          <w:rFonts w:ascii="Times New Roman PS Std;serif" w:hAnsi="Times New Roman PS Std;serif"/>
          <w:b w:val="false"/>
          <w:i w:val="false"/>
          <w:caps w:val="false"/>
          <w:smallCaps w:val="false"/>
          <w:sz w:val="20"/>
        </w:rPr>
        <w:t>Revenue is recognized over time on a usage or straight-line basis over the service period. Revenue related to research and development services is recognized over time using the cost-to-cost method to measure progress to completion.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Grant Income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 represents a component of Pasqal’s operating income and primarily reflects funding received in connection with research and development activities, including programs supported by French, European and other public institutions. The level of government grant income may vary from period to period depending on the timing of project milestones, the recognition of eligible costs, and the availability of public funding programs. Government grants related to operating expenses are recognized in income over the period in which the related costs are incurred, while grants related to assets are recognized over the useful life of the underlying assets.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Pasqal’s borrowings bear interest at rates below the prevailing market rate for comparable instruments. In accordance with IFRS 9, these borrowings were initially recognized at fair value using market borrowing rates. The difference between the cash proceeds received and the initial fair value of the loans is accounted for as a government grant under IAS 20, </w:t>
      </w:r>
      <w:r>
        <w:rPr>
          <w:rFonts w:ascii="Times New Roman PS Std;serif" w:hAnsi="Times New Roman PS Std;serif"/>
          <w:b w:val="false"/>
          <w:i/>
          <w:caps w:val="false"/>
          <w:smallCaps w:val="false"/>
          <w:sz w:val="20"/>
        </w:rPr>
        <w:t>Accounting for Government Grants and Disclosure of Government Assistance</w:t>
      </w:r>
      <w:r>
        <w:rPr>
          <w:rFonts w:ascii="Times New Roman PS Std;serif" w:hAnsi="Times New Roman PS Std;serif"/>
          <w:b w:val="false"/>
          <w:i w:val="false"/>
          <w:caps w:val="false"/>
          <w:smallCaps w:val="false"/>
          <w:sz w:val="20"/>
        </w:rPr>
        <w:t> and presented as deferred income from government grants, which is recognized in profit or loss on a systematic basis over the respective borrowing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Income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consists primarily of changes in fair value of the contingent consideration related to the acquisition of Aeponyx Enterprises Inc., foreign exchange gains on trade receivables and trade and other payables and other non-recurring items.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Purchases of Material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 consist of the purchases of components, goods, raw materials, and consumables to be used in (1) the development of specialized quantum computing hardware that supports Pasqal’s quantum computing products and service offerings and (2) the delivery of related software and cloud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Inventory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inventories reflect the period-over-period movements in raw materials, supplies, and other inputs used in the development of Pasqal’s quantum computing systems. Changes in inventories also include the movements in inventory impairment charges and costs associated with the contractual guarantee provided under Pasqal’s agreement with DistriQ.</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Salaries and Benefit Expenses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 consist of compensation-related expenses including employee salaries and wages, social security and other employee benefit contributions, and share-based compensation costs.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Professional Services and Other Services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 consist of expenses for outsourced activities, primarily related to fees incurred for third-party professional services such as legal, intellectual property advisors, consultants, and technical and scientific subcontractors. Professional services and other services also include costs for short-term and low-value leases that qualify for the recognition exemption under IFRS 16,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advertising costs, travel and entertainment costs, repairs and maintenance costs, costs incurred for other outsourced services, and other miscellaneous costs.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Depreciation and Amortization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expense results from depreciation of property, plant and equipment that are recognized over their estimated useful lives, amortization of intangible assets that are recognized over their estimated useful lives, and amortization of right-of-use assets over the lease term.</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Impairment Losses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 consist of an impairment of the acquired intangible assets as part of Pasqal’s historical acquisition of Qu&amp;Co Solutions GmbH (“</w:t>
      </w:r>
      <w:r>
        <w:rPr>
          <w:rFonts w:ascii="Times New Roman PS Std;serif" w:hAnsi="Times New Roman PS Std;serif"/>
          <w:b/>
          <w:i w:val="false"/>
          <w:caps w:val="false"/>
          <w:smallCaps w:val="false"/>
          <w:sz w:val="20"/>
        </w:rPr>
        <w:t>Qu&amp;Co</w:t>
      </w:r>
      <w:r>
        <w:rPr>
          <w:rFonts w:ascii="Times New Roman PS Std;serif" w:hAnsi="Times New Roman PS Std;serif"/>
          <w:b w:val="false"/>
          <w:i w:val="false"/>
          <w:caps w:val="false"/>
          <w:smallCaps w:val="false"/>
          <w:sz w:val="20"/>
        </w:rPr>
        <w:t>”) in 2021, in connection with the wind-down of Qu&amp;Co following the closure of Pasqal Netherlands B.V. on June 24, 2025.</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Expenses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 consist primarily of taxes on salaries and other taxes and levies, losses incurred on the disposal of property, plant and equipment, costs related to the derecognition of certain fixed assets upon disposal and other miscellaneous operating expenses.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Financial Liabilities at FVTPL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change in fair value of financial liabilities at FVTPL primarily consists of changes in the fair values of convertible bonds and redeemable bonds. The bonds are recognized at their fair value and subsequently remeasured to fair value at each reporting period, with resulting gains and losses recognized in profit or loss.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Finance Income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 consists primarily of interest income earned from cash and cash equivalents and foreign currency gains on foreign currency transactions.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primarily consists of the accretion of the financing component associated with contracts and interest incurred on borrowings, which mainly include Bpifrance S.A. (“</w:t>
      </w:r>
      <w:r>
        <w:rPr>
          <w:rFonts w:ascii="Times New Roman PS Std;serif" w:hAnsi="Times New Roman PS Std;serif"/>
          <w:b/>
          <w:i w:val="false"/>
          <w:caps w:val="false"/>
          <w:smallCaps w:val="false"/>
          <w:sz w:val="20"/>
        </w:rPr>
        <w:t>BPI</w:t>
      </w:r>
      <w:r>
        <w:rPr>
          <w:rFonts w:ascii="Times New Roman PS Std;serif" w:hAnsi="Times New Roman PS Std;serif"/>
          <w:b w:val="false"/>
          <w:i w:val="false"/>
          <w:caps w:val="false"/>
          <w:smallCaps w:val="false"/>
          <w:sz w:val="20"/>
        </w:rPr>
        <w:t>”) loans, a loan facility with Investissement Québec, a promissory note with BDC Capital Inc., and various other loans.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Financial Expense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 consists of interest expense on lease liabilities, amortization of issuance costs related to redeemable bonds, and foreign currency losses on foreign currency transactions.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(Expense) Tax Benefit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 consists of income taxes related to the jurisdictions in which Pasqal conducts business.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Pasqal’s results of operations for the six months ended June 30, 2026 and 2025:</w:t>
      </w:r>
    </w:p>
    <w:tbl>
      <w:tblPr>
        <w:tblW w:w="10205" w:type="dxa"/>
        <w:jc w:val="left"/>
        <w:tblInd w:w="0" w:type="dxa"/>
        <w:tblLayout w:type="fixed"/>
        <w:tblCellMar>
          <w:top w:w="0" w:type="dxa"/>
          <w:left w:w="0" w:type="dxa"/>
          <w:bottom w:w="0" w:type="dxa"/>
          <w:right w:w="0" w:type="dxa"/>
        </w:tblCellMar>
      </w:tblPr>
      <w:tblGrid>
        <w:gridCol w:w="4106"/>
        <w:gridCol w:w="146"/>
        <w:gridCol w:w="286"/>
        <w:gridCol w:w="901"/>
        <w:gridCol w:w="241"/>
        <w:gridCol w:w="146"/>
        <w:gridCol w:w="286"/>
        <w:gridCol w:w="901"/>
        <w:gridCol w:w="241"/>
        <w:gridCol w:w="146"/>
        <w:gridCol w:w="286"/>
        <w:gridCol w:w="901"/>
        <w:gridCol w:w="241"/>
        <w:gridCol w:w="146"/>
        <w:gridCol w:w="745"/>
        <w:gridCol w:w="486"/>
      </w:tblGrid>
      <w:tr>
        <w:trPr/>
        <w:tc>
          <w:tcPr>
            <w:tcW w:w="41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42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4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(19,773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tax</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(53,216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(26,150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year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7867" w:type="dxa"/>
        <w:jc w:val="left"/>
        <w:tblInd w:w="0" w:type="dxa"/>
        <w:tblLayout w:type="fixed"/>
        <w:tblCellMar>
          <w:top w:w="0" w:type="dxa"/>
          <w:left w:w="0" w:type="dxa"/>
          <w:bottom w:w="0" w:type="dxa"/>
          <w:right w:w="0" w:type="dxa"/>
        </w:tblCellMar>
      </w:tblPr>
      <w:tblGrid>
        <w:gridCol w:w="2176"/>
        <w:gridCol w:w="146"/>
        <w:gridCol w:w="374"/>
        <w:gridCol w:w="925"/>
        <w:gridCol w:w="191"/>
        <w:gridCol w:w="374"/>
        <w:gridCol w:w="925"/>
        <w:gridCol w:w="146"/>
        <w:gridCol w:w="286"/>
        <w:gridCol w:w="706"/>
        <w:gridCol w:w="241"/>
        <w:gridCol w:w="146"/>
        <w:gridCol w:w="667"/>
        <w:gridCol w:w="564"/>
      </w:tblGrid>
      <w:tr>
        <w:trPr/>
        <w:tc>
          <w:tcPr>
            <w:tcW w:w="2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233"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1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91"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3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1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45"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sales</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91"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5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QPU-related services</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3,944</w:t>
            </w:r>
          </w:p>
        </w:tc>
        <w:tc>
          <w:tcPr>
            <w:tcW w:w="191"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5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c>
          <w:tcPr>
            <w:tcW w:w="191"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5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37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4,872</w:t>
            </w:r>
          </w:p>
        </w:tc>
        <w:tc>
          <w:tcPr>
            <w:tcW w:w="191" w:type="dxa"/>
            <w:tcBorders/>
            <w:vAlign w:val="bottom"/>
          </w:tcPr>
          <w:p>
            <w:pPr>
              <w:pStyle w:val="TableContents"/>
              <w:bidi w:val="0"/>
              <w:spacing w:before="0" w:after="283"/>
              <w:jc w:val="left"/>
              <w:rPr/>
            </w:pPr>
            <w:r>
              <w:rPr/>
              <w:t> </w:t>
            </w:r>
          </w:p>
        </w:tc>
        <w:tc>
          <w:tcPr>
            <w:tcW w:w="37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5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 is comprised of sales of QPU-related services and Cryostat sales for the six months ended June 30, 2026 and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QPU-related services increased by €1.0 million, or 34% from €2.9 million for the six months ended June 30, 2025 to €3.9 million for the six months ended June 30, 2026. This increase was primarily driven by the timing of revenue recognition associated with the QPU upgrade under the Forschungszentrum Jülich contract, amounting to €0.8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Cryostat sales decreased by €0.4 million, or 31% from €1.3 million for the six months ended June 30, 2025 to €0.9 million for the six months ended June 30, 2026. This decrease was primarily driven by fewer Cryostat deliveries during the six months ended June 30, 2026 as compared to the six months ended June 30, 2025, as revenue is recognized upon delivery.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Grant Income</w:t>
      </w:r>
    </w:p>
    <w:tbl>
      <w:tblPr>
        <w:tblW w:w="8330" w:type="dxa"/>
        <w:jc w:val="left"/>
        <w:tblInd w:w="0" w:type="dxa"/>
        <w:tblLayout w:type="fixed"/>
        <w:tblCellMar>
          <w:top w:w="0" w:type="dxa"/>
          <w:left w:w="0" w:type="dxa"/>
          <w:bottom w:w="0" w:type="dxa"/>
          <w:right w:w="0" w:type="dxa"/>
        </w:tblCellMar>
      </w:tblPr>
      <w:tblGrid>
        <w:gridCol w:w="2686"/>
        <w:gridCol w:w="146"/>
        <w:gridCol w:w="382"/>
        <w:gridCol w:w="944"/>
        <w:gridCol w:w="195"/>
        <w:gridCol w:w="382"/>
        <w:gridCol w:w="944"/>
        <w:gridCol w:w="146"/>
        <w:gridCol w:w="286"/>
        <w:gridCol w:w="601"/>
        <w:gridCol w:w="241"/>
        <w:gridCol w:w="146"/>
        <w:gridCol w:w="679"/>
        <w:gridCol w:w="552"/>
      </w:tblGrid>
      <w:tr>
        <w:trPr/>
        <w:tc>
          <w:tcPr>
            <w:tcW w:w="26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47"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c>
          <w:tcPr>
            <w:tcW w:w="146" w:type="dxa"/>
            <w:tcBorders/>
            <w:vAlign w:val="bottom"/>
          </w:tcPr>
          <w:p>
            <w:pPr>
              <w:pStyle w:val="TableContents"/>
              <w:bidi w:val="0"/>
              <w:spacing w:before="0" w:after="283"/>
              <w:jc w:val="left"/>
              <w:rPr/>
            </w:pPr>
            <w:r>
              <w:rPr/>
              <w:t> </w:t>
            </w:r>
          </w:p>
        </w:tc>
        <w:tc>
          <w:tcPr>
            <w:tcW w:w="112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95" w:type="dxa"/>
            <w:tcBorders/>
            <w:vAlign w:val="bottom"/>
          </w:tcPr>
          <w:p>
            <w:pPr>
              <w:pStyle w:val="TableContents"/>
              <w:bidi w:val="0"/>
              <w:spacing w:before="0" w:after="283"/>
              <w:jc w:val="left"/>
              <w:rPr/>
            </w:pPr>
            <w:r>
              <w:rPr/>
              <w:t> </w:t>
            </w:r>
          </w:p>
        </w:tc>
        <w:tc>
          <w:tcPr>
            <w:tcW w:w="13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98"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2,950</w:t>
            </w:r>
          </w:p>
        </w:tc>
        <w:tc>
          <w:tcPr>
            <w:tcW w:w="19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 decreased by €0.6 million, or 17% from €3.5 million for the six months ended June 30, 2025 to €3.0 million for the six months ended June 30, 2026. The decrease was primarily driven by the timing of grant income recognition, which is based on the achievement of project milestones and the occurrence of eligible costs associated with primarily programs funded by BPI, the EIC Accelerator, and South Korean government initiatives. The decrease was not a result of a reduction in grants awarded.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Income</w:t>
      </w:r>
    </w:p>
    <w:tbl>
      <w:tblPr>
        <w:tblW w:w="8196" w:type="dxa"/>
        <w:jc w:val="left"/>
        <w:tblInd w:w="0" w:type="dxa"/>
        <w:tblLayout w:type="fixed"/>
        <w:tblCellMar>
          <w:top w:w="0" w:type="dxa"/>
          <w:left w:w="0" w:type="dxa"/>
          <w:bottom w:w="0" w:type="dxa"/>
          <w:right w:w="0" w:type="dxa"/>
        </w:tblCellMar>
      </w:tblPr>
      <w:tblGrid>
        <w:gridCol w:w="2431"/>
        <w:gridCol w:w="146"/>
        <w:gridCol w:w="409"/>
        <w:gridCol w:w="752"/>
        <w:gridCol w:w="208"/>
        <w:gridCol w:w="409"/>
        <w:gridCol w:w="1010"/>
        <w:gridCol w:w="146"/>
        <w:gridCol w:w="286"/>
        <w:gridCol w:w="781"/>
        <w:gridCol w:w="241"/>
        <w:gridCol w:w="146"/>
        <w:gridCol w:w="679"/>
        <w:gridCol w:w="552"/>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8"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30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208" w:type="dxa"/>
            <w:tcBorders/>
            <w:vAlign w:val="bottom"/>
          </w:tcPr>
          <w:p>
            <w:pPr>
              <w:pStyle w:val="TableContents"/>
              <w:bidi w:val="0"/>
              <w:spacing w:before="0" w:after="283"/>
              <w:jc w:val="left"/>
              <w:rPr/>
            </w:pPr>
            <w:r>
              <w:rPr/>
              <w:t> </w:t>
            </w:r>
          </w:p>
        </w:tc>
        <w:tc>
          <w:tcPr>
            <w:tcW w:w="141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619"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208"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decreased by €1.1 million, or 86% from €1.3 million for the six months ended June 30, 2025 to €0.2 million for the six months ended June 30, 2026. The decrease was primarily because there were non-recurring items included in the six months ended June 30, 2025 that did not recur during the six months ended June 30, 2026. These non-recurring items primarily consist of a €0.6 million reversal of a VAT-related tax risk provision, and €0.1 million reclassification of a credit balance previously recognized in other operating expenses.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Purchases of Material</w:t>
      </w:r>
    </w:p>
    <w:tbl>
      <w:tblPr>
        <w:tblW w:w="7834" w:type="dxa"/>
        <w:jc w:val="left"/>
        <w:tblInd w:w="0" w:type="dxa"/>
        <w:tblLayout w:type="fixed"/>
        <w:tblCellMar>
          <w:top w:w="0" w:type="dxa"/>
          <w:left w:w="0" w:type="dxa"/>
          <w:bottom w:w="0" w:type="dxa"/>
          <w:right w:w="0" w:type="dxa"/>
        </w:tblCellMar>
      </w:tblPr>
      <w:tblGrid>
        <w:gridCol w:w="2251"/>
        <w:gridCol w:w="146"/>
        <w:gridCol w:w="289"/>
        <w:gridCol w:w="789"/>
        <w:gridCol w:w="243"/>
        <w:gridCol w:w="147"/>
        <w:gridCol w:w="289"/>
        <w:gridCol w:w="789"/>
        <w:gridCol w:w="243"/>
        <w:gridCol w:w="146"/>
        <w:gridCol w:w="396"/>
        <w:gridCol w:w="729"/>
        <w:gridCol w:w="146"/>
        <w:gridCol w:w="590"/>
        <w:gridCol w:w="641"/>
      </w:tblGrid>
      <w:tr>
        <w:trPr/>
        <w:tc>
          <w:tcPr>
            <w:tcW w:w="22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9"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7" w:type="dxa"/>
            <w:tcBorders/>
            <w:vAlign w:val="bottom"/>
          </w:tcPr>
          <w:p>
            <w:pPr>
              <w:pStyle w:val="TableContents"/>
              <w:bidi w:val="0"/>
              <w:spacing w:before="0" w:after="283"/>
              <w:jc w:val="left"/>
              <w:rPr/>
            </w:pPr>
            <w:r>
              <w:rPr/>
              <w:t> </w:t>
            </w:r>
          </w:p>
        </w:tc>
        <w:tc>
          <w:tcPr>
            <w:tcW w:w="13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37"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(2,569</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46"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6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 decreased by €0.1 million, or 5% from €2.7 million for the six months ended June 30, 2025 to €2.6 million for the six months ended June 30,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Inventory</w:t>
      </w:r>
    </w:p>
    <w:tbl>
      <w:tblPr>
        <w:tblW w:w="7777" w:type="dxa"/>
        <w:jc w:val="left"/>
        <w:tblInd w:w="0" w:type="dxa"/>
        <w:tblLayout w:type="fixed"/>
        <w:tblCellMar>
          <w:top w:w="0" w:type="dxa"/>
          <w:left w:w="0" w:type="dxa"/>
          <w:bottom w:w="0" w:type="dxa"/>
          <w:right w:w="0" w:type="dxa"/>
        </w:tblCellMar>
      </w:tblPr>
      <w:tblGrid>
        <w:gridCol w:w="2191"/>
        <w:gridCol w:w="146"/>
        <w:gridCol w:w="374"/>
        <w:gridCol w:w="925"/>
        <w:gridCol w:w="191"/>
        <w:gridCol w:w="374"/>
        <w:gridCol w:w="925"/>
        <w:gridCol w:w="146"/>
        <w:gridCol w:w="286"/>
        <w:gridCol w:w="601"/>
        <w:gridCol w:w="241"/>
        <w:gridCol w:w="146"/>
        <w:gridCol w:w="679"/>
        <w:gridCol w:w="552"/>
      </w:tblGrid>
      <w:tr>
        <w:trPr/>
        <w:tc>
          <w:tcPr>
            <w:tcW w:w="21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91"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40"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1,372</w:t>
            </w:r>
          </w:p>
        </w:tc>
        <w:tc>
          <w:tcPr>
            <w:tcW w:w="191"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 decreased by €0.5 million, or 25% from €1.8 million for the six months ended June 30, 2025 to €1.4 million for the six months ended June 30, 2026. The decrease was primarily due to higher work-in-progress inventory levels associated with the ramp-up of the GENCI and Forschungszentrum Jülich QPUs during the six months ended June 30,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Salaries and Benefit Expenses</w:t>
      </w:r>
    </w:p>
    <w:tbl>
      <w:tblPr>
        <w:tblW w:w="10205" w:type="dxa"/>
        <w:jc w:val="left"/>
        <w:tblInd w:w="0" w:type="dxa"/>
        <w:tblLayout w:type="fixed"/>
        <w:tblCellMar>
          <w:top w:w="0" w:type="dxa"/>
          <w:left w:w="0" w:type="dxa"/>
          <w:bottom w:w="0" w:type="dxa"/>
          <w:right w:w="0" w:type="dxa"/>
        </w:tblCellMar>
      </w:tblPr>
      <w:tblGrid>
        <w:gridCol w:w="4106"/>
        <w:gridCol w:w="146"/>
        <w:gridCol w:w="286"/>
        <w:gridCol w:w="901"/>
        <w:gridCol w:w="241"/>
        <w:gridCol w:w="146"/>
        <w:gridCol w:w="286"/>
        <w:gridCol w:w="901"/>
        <w:gridCol w:w="241"/>
        <w:gridCol w:w="146"/>
        <w:gridCol w:w="286"/>
        <w:gridCol w:w="901"/>
        <w:gridCol w:w="241"/>
        <w:gridCol w:w="146"/>
        <w:gridCol w:w="755"/>
        <w:gridCol w:w="476"/>
      </w:tblGrid>
      <w:tr>
        <w:trPr/>
        <w:tc>
          <w:tcPr>
            <w:tcW w:w="41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42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4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wages and benefits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4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2070</w:t>
            </w:r>
          </w:p>
        </w:tc>
        <w:tc>
          <w:tcPr>
            <w:tcW w:w="4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retirement plan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salaries and benefit expenses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171</w:t>
            </w:r>
          </w:p>
        </w:tc>
        <w:tc>
          <w:tcPr>
            <w:tcW w:w="4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salaries, wages and benefits were €9.4 million, a decrease of €1.4 million or 13% compared to the six months ended June 30, 2025. The decrease was primarily driven by the inclusion of employee compensation costs associated with Pasqal Netherlands B.V. prior to its closure on June 24, 2025, partially offset by higher employee compensation costs across the rest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 increased by €1.0 million, or 30% from €3.2 million for the six months ended June 30, 2025 to €4.2 million for the six months ended June 30, 2026. The increase was primarily due to the loss of Jeune Entreprise Innovante status, which resulted in the cessation of certain employer social security contribution exemptions.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 increased by €26.6 million, or 2070% from €1.3 million for the six months ended June 30, 2025 to €27.9 million for the six months ended June 30, 2026. This increase was primarily driven by higher expenses recognized related to BSPCEs, SARs, and stock options as a result of new BSPCEs granted and changes in the fair value of the instruments associated with the Business Combination. These expenses totaled €27.3 million for the six months ended June 30, 2026 compared to €1.0 million for the six months ended June 30,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Professional Services and Other Services</w:t>
      </w:r>
    </w:p>
    <w:tbl>
      <w:tblPr>
        <w:tblW w:w="10205" w:type="dxa"/>
        <w:jc w:val="left"/>
        <w:tblInd w:w="0" w:type="dxa"/>
        <w:tblLayout w:type="fixed"/>
        <w:tblCellMar>
          <w:top w:w="0" w:type="dxa"/>
          <w:left w:w="0" w:type="dxa"/>
          <w:bottom w:w="0" w:type="dxa"/>
          <w:right w:w="0" w:type="dxa"/>
        </w:tblCellMar>
      </w:tblPr>
      <w:tblGrid>
        <w:gridCol w:w="3881"/>
        <w:gridCol w:w="146"/>
        <w:gridCol w:w="286"/>
        <w:gridCol w:w="1006"/>
        <w:gridCol w:w="256"/>
        <w:gridCol w:w="146"/>
        <w:gridCol w:w="286"/>
        <w:gridCol w:w="871"/>
        <w:gridCol w:w="256"/>
        <w:gridCol w:w="146"/>
        <w:gridCol w:w="286"/>
        <w:gridCol w:w="1006"/>
        <w:gridCol w:w="256"/>
        <w:gridCol w:w="146"/>
        <w:gridCol w:w="719"/>
        <w:gridCol w:w="512"/>
      </w:tblGrid>
      <w:tr>
        <w:trPr/>
        <w:tc>
          <w:tcPr>
            <w:tcW w:w="38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0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38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8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78"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for external professional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5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costs (including rentals)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public relation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5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and entertainment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outsourced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5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external charges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and repairs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5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and postage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5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professional services and other services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(19,553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(8,261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137</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 increased by €11.3 million, or 137% from €8.3 million for the six months ended June 30, 2025 to €19.6 million for the six months ended June 30, 2026. The increase was primarily driven by higher fees incurred for external professional services in connection with Pasqal’s preparation for becoming a public company; these fees for external professional services consist of advisory, legal, and other professional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Depreciation and Amortization</w:t>
      </w:r>
    </w:p>
    <w:tbl>
      <w:tblPr>
        <w:tblW w:w="8674" w:type="dxa"/>
        <w:jc w:val="left"/>
        <w:tblInd w:w="0" w:type="dxa"/>
        <w:tblLayout w:type="fixed"/>
        <w:tblCellMar>
          <w:top w:w="0" w:type="dxa"/>
          <w:left w:w="0" w:type="dxa"/>
          <w:bottom w:w="0" w:type="dxa"/>
          <w:right w:w="0" w:type="dxa"/>
        </w:tblCellMar>
      </w:tblPr>
      <w:tblGrid>
        <w:gridCol w:w="3091"/>
        <w:gridCol w:w="146"/>
        <w:gridCol w:w="289"/>
        <w:gridCol w:w="789"/>
        <w:gridCol w:w="243"/>
        <w:gridCol w:w="147"/>
        <w:gridCol w:w="289"/>
        <w:gridCol w:w="789"/>
        <w:gridCol w:w="243"/>
        <w:gridCol w:w="146"/>
        <w:gridCol w:w="464"/>
        <w:gridCol w:w="661"/>
        <w:gridCol w:w="146"/>
        <w:gridCol w:w="590"/>
        <w:gridCol w:w="641"/>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9"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5" w:type="dxa"/>
            <w:gridSpan w:val="2"/>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7" w:type="dxa"/>
            <w:tcBorders/>
            <w:vAlign w:val="bottom"/>
          </w:tcPr>
          <w:p>
            <w:pPr>
              <w:pStyle w:val="TableContents"/>
              <w:bidi w:val="0"/>
              <w:spacing w:before="0" w:after="283"/>
              <w:jc w:val="left"/>
              <w:rPr/>
            </w:pPr>
            <w:r>
              <w:rPr/>
              <w:t> </w:t>
            </w:r>
          </w:p>
        </w:tc>
        <w:tc>
          <w:tcPr>
            <w:tcW w:w="13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5"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37"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(4,302</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6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decreased by €0.1 million, or 2% from €4.4 million for the six months ended June 30, 2025 to €4.3 million for the six months ended June 30,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Expenses</w:t>
      </w:r>
    </w:p>
    <w:tbl>
      <w:tblPr>
        <w:tblW w:w="8228" w:type="dxa"/>
        <w:jc w:val="left"/>
        <w:tblInd w:w="0" w:type="dxa"/>
        <w:tblLayout w:type="fixed"/>
        <w:tblCellMar>
          <w:top w:w="0" w:type="dxa"/>
          <w:left w:w="0" w:type="dxa"/>
          <w:bottom w:w="0" w:type="dxa"/>
          <w:right w:w="0" w:type="dxa"/>
        </w:tblCellMar>
      </w:tblPr>
      <w:tblGrid>
        <w:gridCol w:w="2641"/>
        <w:gridCol w:w="146"/>
        <w:gridCol w:w="406"/>
        <w:gridCol w:w="853"/>
        <w:gridCol w:w="342"/>
        <w:gridCol w:w="207"/>
        <w:gridCol w:w="406"/>
        <w:gridCol w:w="576"/>
        <w:gridCol w:w="146"/>
        <w:gridCol w:w="286"/>
        <w:gridCol w:w="601"/>
        <w:gridCol w:w="241"/>
        <w:gridCol w:w="146"/>
        <w:gridCol w:w="706"/>
        <w:gridCol w:w="525"/>
      </w:tblGrid>
      <w:tr>
        <w:trPr/>
        <w:tc>
          <w:tcPr>
            <w:tcW w:w="26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90"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207" w:type="dxa"/>
            <w:tcBorders/>
            <w:vAlign w:val="bottom"/>
          </w:tcPr>
          <w:p>
            <w:pPr>
              <w:pStyle w:val="TableContents"/>
              <w:bidi w:val="0"/>
              <w:spacing w:before="0" w:after="283"/>
              <w:jc w:val="left"/>
              <w:rPr/>
            </w:pPr>
            <w:r>
              <w:rPr/>
              <w:t> </w:t>
            </w:r>
          </w:p>
        </w:tc>
        <w:tc>
          <w:tcPr>
            <w:tcW w:w="9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6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41"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5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3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 were €0.5 million for the six months ended June 30, 2026 with no other operating expenses recognized for the six months ended June 30, 2025. The increase was primarily driven by €0.2 million charge related to the disposal of certain fixed assets and €0.2 million of license and royalty expenses.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Financial Liabilities at FVTPL</w:t>
      </w:r>
    </w:p>
    <w:tbl>
      <w:tblPr>
        <w:tblW w:w="10205" w:type="dxa"/>
        <w:jc w:val="left"/>
        <w:tblInd w:w="0" w:type="dxa"/>
        <w:tblLayout w:type="fixed"/>
        <w:tblCellMar>
          <w:top w:w="0" w:type="dxa"/>
          <w:left w:w="0" w:type="dxa"/>
          <w:bottom w:w="0" w:type="dxa"/>
          <w:right w:w="0" w:type="dxa"/>
        </w:tblCellMar>
      </w:tblPr>
      <w:tblGrid>
        <w:gridCol w:w="4658"/>
        <w:gridCol w:w="146"/>
        <w:gridCol w:w="321"/>
        <w:gridCol w:w="795"/>
        <w:gridCol w:w="163"/>
        <w:gridCol w:w="321"/>
        <w:gridCol w:w="879"/>
        <w:gridCol w:w="270"/>
        <w:gridCol w:w="146"/>
        <w:gridCol w:w="288"/>
        <w:gridCol w:w="834"/>
        <w:gridCol w:w="146"/>
        <w:gridCol w:w="745"/>
        <w:gridCol w:w="493"/>
      </w:tblGrid>
      <w:tr>
        <w:trPr/>
        <w:tc>
          <w:tcPr>
            <w:tcW w:w="465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49"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2" w:type="dxa"/>
            <w:gridSpan w:val="2"/>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8"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6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63" w:type="dxa"/>
            <w:tcBorders/>
            <w:vAlign w:val="bottom"/>
          </w:tcPr>
          <w:p>
            <w:pPr>
              <w:pStyle w:val="TableContents"/>
              <w:bidi w:val="0"/>
              <w:spacing w:before="0" w:after="283"/>
              <w:jc w:val="left"/>
              <w:rPr/>
            </w:pPr>
            <w:r>
              <w:rPr/>
              <w:t> </w:t>
            </w:r>
          </w:p>
        </w:tc>
        <w:tc>
          <w:tcPr>
            <w:tcW w:w="147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8" w:type="dxa"/>
            <w:gridSpan w:val="2"/>
            <w:vMerge w:val="continue"/>
            <w:tcBorders/>
            <w:vAlign w:val="bottom"/>
          </w:tcPr>
          <w:p>
            <w:pPr>
              <w:pStyle w:val="Normal"/>
              <w:bidi w:val="0"/>
              <w:jc w:val="left"/>
              <w:rPr/>
            </w:pPr>
            <w:r>
              <w:rPr/>
            </w:r>
          </w:p>
        </w:tc>
      </w:tr>
      <w:tr>
        <w:trPr/>
        <w:tc>
          <w:tcPr>
            <w:tcW w:w="46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01"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6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7,048</w:t>
            </w:r>
          </w:p>
        </w:tc>
        <w:tc>
          <w:tcPr>
            <w:tcW w:w="163"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(3,033</w:t>
            </w:r>
          </w:p>
        </w:tc>
        <w:tc>
          <w:tcPr>
            <w:tcW w:w="2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10,081</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4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 fluctuated by €10.1 million, or 332% from (€3.0) million for the six months ended June 30, 2025 to €7.0 million for the six months ended June 30, 2026. The change was primarily attributable to a €7.0 million income recognized for the fair value remeasurement of the ORA Bonds (as defined below) prior to conversion, compared to €3.0 million expense recognized for the fair value remeasurements of the ORA Bonds and OCA Bonds (as defined below).</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Finance Income</w:t>
      </w:r>
    </w:p>
    <w:tbl>
      <w:tblPr>
        <w:tblW w:w="7234" w:type="dxa"/>
        <w:jc w:val="left"/>
        <w:tblInd w:w="0" w:type="dxa"/>
        <w:tblLayout w:type="fixed"/>
        <w:tblCellMar>
          <w:top w:w="0" w:type="dxa"/>
          <w:left w:w="0" w:type="dxa"/>
          <w:bottom w:w="0" w:type="dxa"/>
          <w:right w:w="0" w:type="dxa"/>
        </w:tblCellMar>
      </w:tblPr>
      <w:tblGrid>
        <w:gridCol w:w="1651"/>
        <w:gridCol w:w="146"/>
        <w:gridCol w:w="374"/>
        <w:gridCol w:w="925"/>
        <w:gridCol w:w="191"/>
        <w:gridCol w:w="374"/>
        <w:gridCol w:w="925"/>
        <w:gridCol w:w="146"/>
        <w:gridCol w:w="396"/>
        <w:gridCol w:w="729"/>
        <w:gridCol w:w="146"/>
        <w:gridCol w:w="627"/>
        <w:gridCol w:w="604"/>
      </w:tblGrid>
      <w:tr>
        <w:trPr/>
        <w:tc>
          <w:tcPr>
            <w:tcW w:w="1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5" w:type="dxa"/>
            <w:gridSpan w:val="2"/>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91"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5"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37"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w:t>
            </w:r>
          </w:p>
        </w:tc>
        <w:tc>
          <w:tcPr>
            <w:tcW w:w="191"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1,101</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4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6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 increased by €0.3 million, or 28% from €1.1 million for the six months ended June 30, 2025 to €1.4 million for the six months ended June 30, 2026. The increase was driven by a €0.7 million increase in financial income earned on cash equivalents, partially offset by a €0.4 million decrease in foreign exchange gains on financial transactions.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tbl>
      <w:tblPr>
        <w:tblW w:w="7342" w:type="dxa"/>
        <w:jc w:val="left"/>
        <w:tblInd w:w="0" w:type="dxa"/>
        <w:tblLayout w:type="fixed"/>
        <w:tblCellMar>
          <w:top w:w="0" w:type="dxa"/>
          <w:left w:w="0" w:type="dxa"/>
          <w:bottom w:w="0" w:type="dxa"/>
          <w:right w:w="0" w:type="dxa"/>
        </w:tblCellMar>
      </w:tblPr>
      <w:tblGrid>
        <w:gridCol w:w="1756"/>
        <w:gridCol w:w="146"/>
        <w:gridCol w:w="289"/>
        <w:gridCol w:w="789"/>
        <w:gridCol w:w="243"/>
        <w:gridCol w:w="147"/>
        <w:gridCol w:w="289"/>
        <w:gridCol w:w="789"/>
        <w:gridCol w:w="243"/>
        <w:gridCol w:w="146"/>
        <w:gridCol w:w="286"/>
        <w:gridCol w:w="601"/>
        <w:gridCol w:w="241"/>
        <w:gridCol w:w="146"/>
        <w:gridCol w:w="520"/>
        <w:gridCol w:w="711"/>
      </w:tblGrid>
      <w:tr>
        <w:trPr/>
        <w:tc>
          <w:tcPr>
            <w:tcW w:w="17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9"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17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7" w:type="dxa"/>
            <w:tcBorders/>
            <w:vAlign w:val="bottom"/>
          </w:tcPr>
          <w:p>
            <w:pPr>
              <w:pStyle w:val="TableContents"/>
              <w:bidi w:val="0"/>
              <w:spacing w:before="0" w:after="283"/>
              <w:jc w:val="left"/>
              <w:rPr/>
            </w:pPr>
            <w:r>
              <w:rPr/>
              <w:t> </w:t>
            </w:r>
          </w:p>
        </w:tc>
        <w:tc>
          <w:tcPr>
            <w:tcW w:w="13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17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40"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1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(1,838</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7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increased by €0.2 million, or 9% from €1.8 million for the six months ended June 30, 2025 to €2.0 million for the six months ended June 30,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Financial Expense</w:t>
      </w:r>
    </w:p>
    <w:tbl>
      <w:tblPr>
        <w:tblW w:w="8013" w:type="dxa"/>
        <w:jc w:val="left"/>
        <w:tblInd w:w="0" w:type="dxa"/>
        <w:tblLayout w:type="fixed"/>
        <w:tblCellMar>
          <w:top w:w="0" w:type="dxa"/>
          <w:left w:w="0" w:type="dxa"/>
          <w:bottom w:w="0" w:type="dxa"/>
          <w:right w:w="0" w:type="dxa"/>
        </w:tblCellMar>
      </w:tblPr>
      <w:tblGrid>
        <w:gridCol w:w="2431"/>
        <w:gridCol w:w="146"/>
        <w:gridCol w:w="309"/>
        <w:gridCol w:w="649"/>
        <w:gridCol w:w="260"/>
        <w:gridCol w:w="157"/>
        <w:gridCol w:w="309"/>
        <w:gridCol w:w="844"/>
        <w:gridCol w:w="260"/>
        <w:gridCol w:w="146"/>
        <w:gridCol w:w="324"/>
        <w:gridCol w:w="801"/>
        <w:gridCol w:w="146"/>
        <w:gridCol w:w="679"/>
        <w:gridCol w:w="552"/>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8"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5" w:type="dxa"/>
            <w:gridSpan w:val="2"/>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57"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5"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36"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w:t>
            </w:r>
          </w:p>
        </w:tc>
        <w:tc>
          <w:tcPr>
            <w:tcW w:w="2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(2,608</w:t>
            </w:r>
          </w:p>
        </w:tc>
        <w:tc>
          <w:tcPr>
            <w:tcW w:w="2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2,087</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 decreased by €2.1 million, or 80% from €2.6 million for the six months ended June 30, 2025 to €0.5 million for the six months ended June 30, 2026. The decrease was primarily attributable to (i) a €1.6 million decrease in foreign exchange losses on financial transactions and (ii) a €0.5 million decrease in other financial expenses related to bond issuance costs for the ORA Bonds (as defined below).</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Income (Expense) Tax Benefit</w:t>
      </w:r>
    </w:p>
    <w:tbl>
      <w:tblPr>
        <w:tblW w:w="8568" w:type="dxa"/>
        <w:jc w:val="left"/>
        <w:tblInd w:w="0" w:type="dxa"/>
        <w:tblLayout w:type="fixed"/>
        <w:tblCellMar>
          <w:top w:w="0" w:type="dxa"/>
          <w:left w:w="0" w:type="dxa"/>
          <w:bottom w:w="0" w:type="dxa"/>
          <w:right w:w="0" w:type="dxa"/>
        </w:tblCellMar>
      </w:tblPr>
      <w:tblGrid>
        <w:gridCol w:w="2986"/>
        <w:gridCol w:w="146"/>
        <w:gridCol w:w="432"/>
        <w:gridCol w:w="727"/>
        <w:gridCol w:w="364"/>
        <w:gridCol w:w="220"/>
        <w:gridCol w:w="432"/>
        <w:gridCol w:w="613"/>
        <w:gridCol w:w="146"/>
        <w:gridCol w:w="319"/>
        <w:gridCol w:w="537"/>
        <w:gridCol w:w="269"/>
        <w:gridCol w:w="146"/>
        <w:gridCol w:w="745"/>
        <w:gridCol w:w="486"/>
      </w:tblGrid>
      <w:tr>
        <w:trPr/>
        <w:tc>
          <w:tcPr>
            <w:tcW w:w="29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8"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5"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2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220"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5"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36"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3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2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 decreased by €0.1 million, or 165% from €0.0 million for the six months ended June 30, 2025 to (€0.0) million for the six months ended June 30, 2026.</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Pasqal’s results of operations for the years ended December 31, 2025 and 2024:</w:t>
      </w:r>
    </w:p>
    <w:tbl>
      <w:tblPr>
        <w:tblW w:w="10205" w:type="dxa"/>
        <w:jc w:val="left"/>
        <w:tblInd w:w="0" w:type="dxa"/>
        <w:tblLayout w:type="fixed"/>
        <w:tblCellMar>
          <w:top w:w="0" w:type="dxa"/>
          <w:left w:w="0" w:type="dxa"/>
          <w:bottom w:w="0" w:type="dxa"/>
          <w:right w:w="0" w:type="dxa"/>
        </w:tblCellMar>
      </w:tblPr>
      <w:tblGrid>
        <w:gridCol w:w="3985"/>
        <w:gridCol w:w="146"/>
        <w:gridCol w:w="286"/>
        <w:gridCol w:w="901"/>
        <w:gridCol w:w="241"/>
        <w:gridCol w:w="146"/>
        <w:gridCol w:w="286"/>
        <w:gridCol w:w="901"/>
        <w:gridCol w:w="241"/>
        <w:gridCol w:w="146"/>
        <w:gridCol w:w="286"/>
        <w:gridCol w:w="901"/>
        <w:gridCol w:w="241"/>
        <w:gridCol w:w="146"/>
        <w:gridCol w:w="961"/>
        <w:gridCol w:w="391"/>
      </w:tblGrid>
      <w:tr>
        <w:trPr/>
        <w:tc>
          <w:tcPr>
            <w:tcW w:w="398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bidi w:val="0"/>
              <w:spacing w:before="0" w:after="283"/>
              <w:jc w:val="left"/>
              <w:rPr/>
            </w:pPr>
            <w:r>
              <w:rPr/>
              <w:t> </w:t>
            </w:r>
          </w:p>
        </w:tc>
      </w:tr>
      <w:tr>
        <w:trPr/>
        <w:tc>
          <w:tcPr>
            <w:tcW w:w="39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9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74"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(50,496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-873375</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tax</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(48,844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year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7220" w:type="dxa"/>
        <w:jc w:val="left"/>
        <w:tblInd w:w="0" w:type="dxa"/>
        <w:tblLayout w:type="fixed"/>
        <w:tblCellMar>
          <w:top w:w="0" w:type="dxa"/>
          <w:left w:w="0" w:type="dxa"/>
          <w:bottom w:w="0" w:type="dxa"/>
          <w:right w:w="0" w:type="dxa"/>
        </w:tblCellMar>
      </w:tblPr>
      <w:tblGrid>
        <w:gridCol w:w="2176"/>
        <w:gridCol w:w="146"/>
        <w:gridCol w:w="286"/>
        <w:gridCol w:w="826"/>
        <w:gridCol w:w="146"/>
        <w:gridCol w:w="286"/>
        <w:gridCol w:w="706"/>
        <w:gridCol w:w="146"/>
        <w:gridCol w:w="289"/>
        <w:gridCol w:w="836"/>
        <w:gridCol w:w="146"/>
        <w:gridCol w:w="706"/>
        <w:gridCol w:w="525"/>
      </w:tblGrid>
      <w:tr>
        <w:trPr/>
        <w:tc>
          <w:tcPr>
            <w:tcW w:w="2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5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1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98"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7,457</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5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QPU-related services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2,064</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w:t>
            </w:r>
          </w:p>
        </w:tc>
        <w:tc>
          <w:tcPr>
            <w:tcW w:w="146" w:type="dxa"/>
            <w:tcBorders/>
            <w:vAlign w:val="bottom"/>
          </w:tcPr>
          <w:p>
            <w:pPr>
              <w:pStyle w:val="TableContents"/>
              <w:bidi w:val="0"/>
              <w:spacing w:before="0" w:after="283"/>
              <w:jc w:val="left"/>
              <w:rPr/>
            </w:pPr>
            <w:r>
              <w:rPr/>
              <w:t> </w:t>
            </w:r>
          </w:p>
        </w:tc>
        <w:tc>
          <w:tcPr>
            <w:tcW w:w="28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12,960</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 is comprised of direct sales of QPU, sales of QPU-related services, and Cryostat sales. QPU sales were €7.5 million for the year ended December 31, 2025, with no revenue recognized for the year ended December 31, 2024. The increase was primarily attributable to the commissioning and the recognition of revenue under the GENCI and Forschungszentrum Jülich QPUs contracts as the related performance obligations were satisfied during the year ended December 31, 2025, which contributed approximately €6.1 million of revenue.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QPU-related services increased by €4.4 million, or 213% from €2.1 million for the year ended December 31, 2024 to €6.5 million for the year ended December 31, 2025. This increase was primarily driven by higher revenue recognized under the French Direction Générale de l’Armement contract, resulting in revenue of €5.0 million for the year ended December 31, 2025, as compared to €0.8 million for the year ended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 increased by €1.1 million, or 77% from €1.4 million for the year ended December 31, 2024 to €2.6 million for the year ended December 31, 2025. This increase was primarily driven by a greater number of cryostat deliveries in 2025 as compared to 2024, as revenue is recognized upon delivery.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Grant Income</w:t>
      </w:r>
    </w:p>
    <w:tbl>
      <w:tblPr>
        <w:tblW w:w="7913" w:type="dxa"/>
        <w:jc w:val="left"/>
        <w:tblInd w:w="0" w:type="dxa"/>
        <w:tblLayout w:type="fixed"/>
        <w:tblCellMar>
          <w:top w:w="0" w:type="dxa"/>
          <w:left w:w="0" w:type="dxa"/>
          <w:bottom w:w="0" w:type="dxa"/>
          <w:right w:w="0" w:type="dxa"/>
        </w:tblCellMar>
      </w:tblPr>
      <w:tblGrid>
        <w:gridCol w:w="2686"/>
        <w:gridCol w:w="146"/>
        <w:gridCol w:w="286"/>
        <w:gridCol w:w="706"/>
        <w:gridCol w:w="146"/>
        <w:gridCol w:w="286"/>
        <w:gridCol w:w="826"/>
        <w:gridCol w:w="146"/>
        <w:gridCol w:w="286"/>
        <w:gridCol w:w="781"/>
        <w:gridCol w:w="241"/>
        <w:gridCol w:w="146"/>
        <w:gridCol w:w="679"/>
        <w:gridCol w:w="552"/>
      </w:tblGrid>
      <w:tr>
        <w:trPr/>
        <w:tc>
          <w:tcPr>
            <w:tcW w:w="26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5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81"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 decreased by €3.6 million, or 33% from €10.8 million for the year ended December 31, 2024 to €7.2 million for the year ended December 31, 2025. The decrease was primarily driven by (i) the wind-down of Qu&amp;Co, following the closure of Pasqal Netherlands B.V, which contributed €1.5 million of government grant income for the year ended December 31, 2024, (ii) a €1.0 million reduction in research tax credit income driven mainly by legislative changes reducing eligible expenses during the year ended December 31, 2025, and (iii) the completion of the Quantum for Bio project, for which €0.7 million was recognized for the year ended December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Income</w:t>
      </w:r>
    </w:p>
    <w:tbl>
      <w:tblPr>
        <w:tblW w:w="7415" w:type="dxa"/>
        <w:jc w:val="left"/>
        <w:tblInd w:w="0" w:type="dxa"/>
        <w:tblLayout w:type="fixed"/>
        <w:tblCellMar>
          <w:top w:w="0" w:type="dxa"/>
          <w:left w:w="0" w:type="dxa"/>
          <w:bottom w:w="0" w:type="dxa"/>
          <w:right w:w="0" w:type="dxa"/>
        </w:tblCellMar>
      </w:tblPr>
      <w:tblGrid>
        <w:gridCol w:w="2431"/>
        <w:gridCol w:w="146"/>
        <w:gridCol w:w="321"/>
        <w:gridCol w:w="793"/>
        <w:gridCol w:w="164"/>
        <w:gridCol w:w="321"/>
        <w:gridCol w:w="591"/>
        <w:gridCol w:w="146"/>
        <w:gridCol w:w="324"/>
        <w:gridCol w:w="801"/>
        <w:gridCol w:w="146"/>
        <w:gridCol w:w="706"/>
        <w:gridCol w:w="525"/>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9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64" w:type="dxa"/>
            <w:tcBorders/>
            <w:vAlign w:val="bottom"/>
          </w:tcPr>
          <w:p>
            <w:pPr>
              <w:pStyle w:val="TableContents"/>
              <w:bidi w:val="0"/>
              <w:spacing w:before="0" w:after="283"/>
              <w:jc w:val="left"/>
              <w:rPr/>
            </w:pPr>
            <w:r>
              <w:rPr/>
              <w:t> </w:t>
            </w:r>
          </w:p>
        </w:tc>
        <w:tc>
          <w:tcPr>
            <w:tcW w:w="9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38"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w:t>
            </w:r>
          </w:p>
        </w:tc>
        <w:tc>
          <w:tcPr>
            <w:tcW w:w="164"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increased by €1.6 million, or 636% from €0.3 million for the year ended December 31, 2024 to €1.9 million for the year ended December 31, 2025. The increase is primarily due to the €0.7 million change in fair value of the contingent consideration for the acquisition of Aeponyx Enterprises Inc. and the recognition of €0.6 million reversal of the 2024 VAT provision.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Purchases of Material</w:t>
      </w:r>
    </w:p>
    <w:tbl>
      <w:tblPr>
        <w:tblW w:w="10102" w:type="dxa"/>
        <w:jc w:val="left"/>
        <w:tblInd w:w="0" w:type="dxa"/>
        <w:tblLayout w:type="fixed"/>
        <w:tblCellMar>
          <w:top w:w="0" w:type="dxa"/>
          <w:left w:w="0" w:type="dxa"/>
          <w:bottom w:w="0" w:type="dxa"/>
          <w:right w:w="0" w:type="dxa"/>
        </w:tblCellMar>
      </w:tblPr>
      <w:tblGrid>
        <w:gridCol w:w="4546"/>
        <w:gridCol w:w="146"/>
        <w:gridCol w:w="286"/>
        <w:gridCol w:w="781"/>
        <w:gridCol w:w="241"/>
        <w:gridCol w:w="146"/>
        <w:gridCol w:w="286"/>
        <w:gridCol w:w="781"/>
        <w:gridCol w:w="241"/>
        <w:gridCol w:w="146"/>
        <w:gridCol w:w="324"/>
        <w:gridCol w:w="801"/>
        <w:gridCol w:w="146"/>
        <w:gridCol w:w="679"/>
        <w:gridCol w:w="552"/>
      </w:tblGrid>
      <w:tr>
        <w:trPr/>
        <w:tc>
          <w:tcPr>
            <w:tcW w:w="45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6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4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10"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raw materials and consumables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1,653</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purchases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146" w:type="dxa"/>
            <w:tcBorders/>
            <w:vAlign w:val="bottom"/>
          </w:tcPr>
          <w:p>
            <w:pPr>
              <w:pStyle w:val="TableContents"/>
              <w:bidi w:val="0"/>
              <w:spacing w:before="0" w:after="283"/>
              <w:jc w:val="left"/>
              <w:rPr/>
            </w:pPr>
            <w:r>
              <w:rPr/>
              <w:t> </w:t>
            </w:r>
          </w:p>
        </w:tc>
        <w:tc>
          <w:tcPr>
            <w:tcW w:w="6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5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purchases of material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1,742</w:t>
            </w:r>
          </w:p>
        </w:tc>
        <w:tc>
          <w:tcPr>
            <w:tcW w:w="146" w:type="dxa"/>
            <w:tcBorders/>
            <w:shd w:fill="CCEEFF" w:val="clear"/>
            <w:vAlign w:val="bottom"/>
          </w:tcPr>
          <w:p>
            <w:pPr>
              <w:pStyle w:val="TableContents"/>
              <w:bidi w:val="0"/>
              <w:spacing w:before="0" w:after="283"/>
              <w:jc w:val="left"/>
              <w:rPr/>
            </w:pPr>
            <w:r>
              <w:rPr/>
              <w:t> </w:t>
            </w:r>
          </w:p>
        </w:tc>
        <w:tc>
          <w:tcPr>
            <w:tcW w:w="6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raw materials and consumables decreased by €1.7 million, or 25% from €6.6 million for the year ended December 31, 2024 to €5.0 million for the year ended December 31, 2025. The decrease was driven by lower purchases of raw materials and consumables due to cost-reduction measures implemented in 2025, which reduced purchases of raw materials and the utilization in operations during the year ended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Inventory</w:t>
      </w:r>
    </w:p>
    <w:tbl>
      <w:tblPr>
        <w:tblW w:w="7734" w:type="dxa"/>
        <w:jc w:val="left"/>
        <w:tblInd w:w="0" w:type="dxa"/>
        <w:tblLayout w:type="fixed"/>
        <w:tblCellMar>
          <w:top w:w="0" w:type="dxa"/>
          <w:left w:w="0" w:type="dxa"/>
          <w:bottom w:w="0" w:type="dxa"/>
          <w:right w:w="0" w:type="dxa"/>
        </w:tblCellMar>
      </w:tblPr>
      <w:tblGrid>
        <w:gridCol w:w="2191"/>
        <w:gridCol w:w="146"/>
        <w:gridCol w:w="286"/>
        <w:gridCol w:w="781"/>
        <w:gridCol w:w="241"/>
        <w:gridCol w:w="146"/>
        <w:gridCol w:w="286"/>
        <w:gridCol w:w="706"/>
        <w:gridCol w:w="146"/>
        <w:gridCol w:w="286"/>
        <w:gridCol w:w="901"/>
        <w:gridCol w:w="241"/>
        <w:gridCol w:w="146"/>
        <w:gridCol w:w="745"/>
        <w:gridCol w:w="486"/>
      </w:tblGrid>
      <w:tr>
        <w:trPr/>
        <w:tc>
          <w:tcPr>
            <w:tcW w:w="21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4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397"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 decreased by €10.6 million, or 146% from income of €7.2 million for the year ended December 31, 2024 to loss of €3.3 million for the year ended December 31, 2025. The changes in inventories in 2025 were primarily driven by the delivery of QPUs during the year, along with reduced procurement activity compared to prior period. The changes in inventories in 2024 were mainly attributable to the initial production phase of the first QPUs.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Salaries and Benefit Expenses</w:t>
      </w:r>
    </w:p>
    <w:tbl>
      <w:tblPr>
        <w:tblW w:w="9625" w:type="dxa"/>
        <w:jc w:val="left"/>
        <w:tblInd w:w="0" w:type="dxa"/>
        <w:tblLayout w:type="fixed"/>
        <w:tblCellMar>
          <w:top w:w="0" w:type="dxa"/>
          <w:left w:w="0" w:type="dxa"/>
          <w:bottom w:w="0" w:type="dxa"/>
          <w:right w:w="0" w:type="dxa"/>
        </w:tblCellMar>
      </w:tblPr>
      <w:tblGrid>
        <w:gridCol w:w="3526"/>
        <w:gridCol w:w="146"/>
        <w:gridCol w:w="286"/>
        <w:gridCol w:w="901"/>
        <w:gridCol w:w="241"/>
        <w:gridCol w:w="146"/>
        <w:gridCol w:w="286"/>
        <w:gridCol w:w="901"/>
        <w:gridCol w:w="241"/>
        <w:gridCol w:w="146"/>
        <w:gridCol w:w="286"/>
        <w:gridCol w:w="901"/>
        <w:gridCol w:w="241"/>
        <w:gridCol w:w="146"/>
        <w:gridCol w:w="706"/>
        <w:gridCol w:w="525"/>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3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wages and benefits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(10,566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retirement plan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Employee salaries and benefit </w:t>
              <w:br/>
              <w:t>expenses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salaries, wages and benefits were €18.0 million, decreased by €0.8 million or 4% compared to the year ended December 31, 2024, due to the decrease in the average number of employees from 293 in 2024 to 286 in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 increased by €1.0 million, or 19% from €5.3 million for the year ended December 31, 2024 to €6.3 million for the year ended December 31, 2025. The increase is primarily due to the increase in the headcount in the French workforce from 198 in 2024 to 224 in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 increased by €10.6 million, or 290% from €3.6 million for the year ended December 31, 2024 to €14.2 million for the year ended December 31, 2025. This increase was primarily driven by higher expenses related to BSPCEs, SARs, and stock options, which amounted to €13.8 million in the year ended December 31, 2025, compared to €2.8 million in the prior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Professional Services and Other Services</w:t>
      </w:r>
    </w:p>
    <w:tbl>
      <w:tblPr>
        <w:tblW w:w="10205" w:type="dxa"/>
        <w:jc w:val="left"/>
        <w:tblInd w:w="0" w:type="dxa"/>
        <w:tblLayout w:type="fixed"/>
        <w:tblCellMar>
          <w:top w:w="0" w:type="dxa"/>
          <w:left w:w="0" w:type="dxa"/>
          <w:bottom w:w="0" w:type="dxa"/>
          <w:right w:w="0" w:type="dxa"/>
        </w:tblCellMar>
      </w:tblPr>
      <w:tblGrid>
        <w:gridCol w:w="4301"/>
        <w:gridCol w:w="146"/>
        <w:gridCol w:w="286"/>
        <w:gridCol w:w="901"/>
        <w:gridCol w:w="241"/>
        <w:gridCol w:w="146"/>
        <w:gridCol w:w="286"/>
        <w:gridCol w:w="901"/>
        <w:gridCol w:w="241"/>
        <w:gridCol w:w="146"/>
        <w:gridCol w:w="286"/>
        <w:gridCol w:w="706"/>
        <w:gridCol w:w="241"/>
        <w:gridCol w:w="146"/>
        <w:gridCol w:w="706"/>
        <w:gridCol w:w="525"/>
      </w:tblGrid>
      <w:tr>
        <w:trPr/>
        <w:tc>
          <w:tcPr>
            <w:tcW w:w="4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4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58"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for external professional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costs (including rentals)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public relation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and entertainment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outsourced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external charges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and repairs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and postage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professional services and other services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for external professional services increased by €0.9 million, or 8% from €11.1 million for the year ended December 31, 2024 to €11.9 million for the year ended December 31, 2025. The increase was primarily driven by costs incurred in connection with the Company’s preparation for becoming a public company, including advisory, legal, and other professional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public relation expenses decreased by €1.7 million, or 71% from €2.4 million for the year ended December 31, 2024 to €0.7 million for the year ended December 31, 2025. The decrease was primarily attributable to cost-reduction measures implemented in 2025 in connection with the Company’s preparation for becoming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and entertainment expenses decreased by €1.3 million, or 56% from €2.2 million for the year ended December 31, 2024 to €1.0 million for the year ended December 31, 2025. This change is consistent with cost-reduction measures implemented in 2025 in connection with the Company’s preparation for becoming a public company, including the temporary suspension of international expansion initiatives and participation in seminars.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outsourced services decreased by €0.5 million, or 38% from €1.4 million for the year ended December 31, 2024 to €0.8 million for the year ended December 31, 2025. The decrease is consistent with cost-reduction measures implemented in 2025 in connection with the Company’s preparation for becoming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and repairs increased by €0.6 million, or 193% from €0.3 million for the year ended December 31, 2024 to €0.9 million for the year ended December 31, 2025. This increase was primarily driven by higher maintenance activity related to the expansion of deployed QPUs and associated infrastructure, as well as increased repair costs resulting from the growth of operations in the year ended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Depreciation and Amortization</w:t>
      </w:r>
    </w:p>
    <w:tbl>
      <w:tblPr>
        <w:tblW w:w="8830" w:type="dxa"/>
        <w:jc w:val="left"/>
        <w:tblInd w:w="0" w:type="dxa"/>
        <w:tblLayout w:type="fixed"/>
        <w:tblCellMar>
          <w:top w:w="0" w:type="dxa"/>
          <w:left w:w="0" w:type="dxa"/>
          <w:bottom w:w="0" w:type="dxa"/>
          <w:right w:w="0" w:type="dxa"/>
        </w:tblCellMar>
      </w:tblPr>
      <w:tblGrid>
        <w:gridCol w:w="3091"/>
        <w:gridCol w:w="146"/>
        <w:gridCol w:w="286"/>
        <w:gridCol w:w="781"/>
        <w:gridCol w:w="241"/>
        <w:gridCol w:w="146"/>
        <w:gridCol w:w="286"/>
        <w:gridCol w:w="781"/>
        <w:gridCol w:w="241"/>
        <w:gridCol w:w="146"/>
        <w:gridCol w:w="286"/>
        <w:gridCol w:w="781"/>
        <w:gridCol w:w="241"/>
        <w:gridCol w:w="146"/>
        <w:gridCol w:w="627"/>
        <w:gridCol w:w="604"/>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6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9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6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Depreciation and amortization increased by €2.4 million, or 39% from €6.2 million for the year ended December 31, 2024 to €8.7 million for the year ended December 31, 2025. The increase was primarily attributable to higher depreciation of tangible and intangible assets, including €1.3 million increase related to fixtures and fittings and €0.8 million increase related to intangible assets in connection with the acquisition of Aeponyx Enterprises Inc, as compared to the year ended December 31, 2024. The increase in fixtures and fittings was primarily attributable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refurbishment works at the Company’s head office (Phenix premises) in Palaiseau undertaken in late 2024. The increase in the intangible assets was due to full year amortization of the Aeponyx Enterprises Inc. intangible assets acquired in July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Impairment Losses</w:t>
      </w:r>
    </w:p>
    <w:tbl>
      <w:tblPr>
        <w:tblW w:w="7322" w:type="dxa"/>
        <w:jc w:val="left"/>
        <w:tblInd w:w="0" w:type="dxa"/>
        <w:tblLayout w:type="fixed"/>
        <w:tblCellMar>
          <w:top w:w="0" w:type="dxa"/>
          <w:left w:w="0" w:type="dxa"/>
          <w:bottom w:w="0" w:type="dxa"/>
          <w:right w:w="0" w:type="dxa"/>
        </w:tblCellMar>
      </w:tblPr>
      <w:tblGrid>
        <w:gridCol w:w="2341"/>
        <w:gridCol w:w="146"/>
        <w:gridCol w:w="318"/>
        <w:gridCol w:w="452"/>
        <w:gridCol w:w="162"/>
        <w:gridCol w:w="318"/>
        <w:gridCol w:w="669"/>
        <w:gridCol w:w="268"/>
        <w:gridCol w:w="146"/>
        <w:gridCol w:w="396"/>
        <w:gridCol w:w="729"/>
        <w:gridCol w:w="146"/>
        <w:gridCol w:w="745"/>
        <w:gridCol w:w="486"/>
      </w:tblGrid>
      <w:tr>
        <w:trPr/>
        <w:tc>
          <w:tcPr>
            <w:tcW w:w="23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87"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62" w:type="dxa"/>
            <w:tcBorders/>
            <w:vAlign w:val="bottom"/>
          </w:tcPr>
          <w:p>
            <w:pPr>
              <w:pStyle w:val="TableContents"/>
              <w:bidi w:val="0"/>
              <w:spacing w:before="0" w:after="283"/>
              <w:jc w:val="left"/>
              <w:rPr/>
            </w:pPr>
            <w:r>
              <w:rPr/>
              <w:t> </w:t>
            </w:r>
          </w:p>
        </w:tc>
        <w:tc>
          <w:tcPr>
            <w:tcW w:w="125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35"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62"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26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 were €0.3 million for the year ended December 31, 2024 with no net impairment losses recognized for the year ended December 31, 2025. Intangible assets related to Qu&amp;Co were impaired for an amount of €0.3 million as of December 31, 2024, following the closure on June 24,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Expenses</w:t>
      </w:r>
    </w:p>
    <w:tbl>
      <w:tblPr>
        <w:tblW w:w="8017" w:type="dxa"/>
        <w:jc w:val="left"/>
        <w:tblInd w:w="0" w:type="dxa"/>
        <w:tblLayout w:type="fixed"/>
        <w:tblCellMar>
          <w:top w:w="0" w:type="dxa"/>
          <w:left w:w="0" w:type="dxa"/>
          <w:bottom w:w="0" w:type="dxa"/>
          <w:right w:w="0" w:type="dxa"/>
        </w:tblCellMar>
      </w:tblPr>
      <w:tblGrid>
        <w:gridCol w:w="2641"/>
        <w:gridCol w:w="146"/>
        <w:gridCol w:w="286"/>
        <w:gridCol w:w="601"/>
        <w:gridCol w:w="241"/>
        <w:gridCol w:w="146"/>
        <w:gridCol w:w="286"/>
        <w:gridCol w:w="781"/>
        <w:gridCol w:w="241"/>
        <w:gridCol w:w="146"/>
        <w:gridCol w:w="324"/>
        <w:gridCol w:w="801"/>
        <w:gridCol w:w="146"/>
        <w:gridCol w:w="679"/>
        <w:gridCol w:w="552"/>
      </w:tblGrid>
      <w:tr>
        <w:trPr/>
        <w:tc>
          <w:tcPr>
            <w:tcW w:w="26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8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6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30"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5,696</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 decreased by €5.7 million, or 89% from €6.4 million for the year ended December 31, 2024 to €0.7 million for the year ended December 31, 2025. The decrease was attributable to the €1.4 million onerous contract provision related to the Québec Inc. contract recognized for the year ended December 31, 2024. For the year ended December 31, 2025, the €1.4 million provision for onerous contract was reversed with the positive impact recognized in other operating expenses; the €1.4 million provision was then reclassified as a write-down of work-in-progress inventory recognized in changes in inventory. The decrease in other operating expenses was also attributable to €2.7 million of lease termination costs related to the cancellation of the Sentier lease recognized for the year ended December 31, 2024 that did not occur for the year ended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Financial Liabilities at FVTPL</w:t>
      </w:r>
    </w:p>
    <w:tbl>
      <w:tblPr>
        <w:tblW w:w="10205" w:type="dxa"/>
        <w:jc w:val="left"/>
        <w:tblInd w:w="0" w:type="dxa"/>
        <w:tblLayout w:type="fixed"/>
        <w:tblCellMar>
          <w:top w:w="0" w:type="dxa"/>
          <w:left w:w="0" w:type="dxa"/>
          <w:bottom w:w="0" w:type="dxa"/>
          <w:right w:w="0" w:type="dxa"/>
        </w:tblCellMar>
      </w:tblPr>
      <w:tblGrid>
        <w:gridCol w:w="4738"/>
        <w:gridCol w:w="146"/>
        <w:gridCol w:w="290"/>
        <w:gridCol w:w="917"/>
        <w:gridCol w:w="245"/>
        <w:gridCol w:w="148"/>
        <w:gridCol w:w="323"/>
        <w:gridCol w:w="323"/>
        <w:gridCol w:w="146"/>
        <w:gridCol w:w="286"/>
        <w:gridCol w:w="901"/>
        <w:gridCol w:w="241"/>
        <w:gridCol w:w="146"/>
        <w:gridCol w:w="961"/>
        <w:gridCol w:w="394"/>
      </w:tblGrid>
      <w:tr>
        <w:trPr/>
        <w:tc>
          <w:tcPr>
            <w:tcW w:w="47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4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r>
      <w:tr>
        <w:trPr/>
        <w:tc>
          <w:tcPr>
            <w:tcW w:w="47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5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8" w:type="dxa"/>
            <w:tcBorders/>
            <w:vAlign w:val="bottom"/>
          </w:tcPr>
          <w:p>
            <w:pPr>
              <w:pStyle w:val="TableContents"/>
              <w:bidi w:val="0"/>
              <w:spacing w:before="0" w:after="283"/>
              <w:jc w:val="left"/>
              <w:rPr/>
            </w:pPr>
            <w:r>
              <w:rPr/>
              <w:t> </w:t>
            </w:r>
          </w:p>
        </w:tc>
        <w:tc>
          <w:tcPr>
            <w:tcW w:w="6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7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321"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7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(34,931</w:t>
            </w:r>
          </w:p>
        </w:tc>
        <w:tc>
          <w:tcPr>
            <w:tcW w:w="24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3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-873375</w:t>
            </w:r>
          </w:p>
        </w:tc>
        <w:tc>
          <w:tcPr>
            <w:tcW w:w="3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 decreased by €34.9 million, or 873375% from €0.0 million for the year ended December 31, 2024 to (€34.9) million for the year ended December 31, 2025. The decrease was primarily attributable to €34.5 million related to the change in fair value of the ORA Bonds (defined below) issued between April and December 2025, compared to €0.2 million of changes in fair value recognized for the OCA Bonds (defined below) offset by €0.2 million for the change in fair value of the financial liability related to the acquisition of Aeponyx Enterprises Inc. for the year ended December 31,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Finance Income</w:t>
      </w:r>
    </w:p>
    <w:tbl>
      <w:tblPr>
        <w:tblW w:w="6635" w:type="dxa"/>
        <w:jc w:val="left"/>
        <w:tblInd w:w="0" w:type="dxa"/>
        <w:tblLayout w:type="fixed"/>
        <w:tblCellMar>
          <w:top w:w="0" w:type="dxa"/>
          <w:left w:w="0" w:type="dxa"/>
          <w:bottom w:w="0" w:type="dxa"/>
          <w:right w:w="0" w:type="dxa"/>
        </w:tblCellMar>
      </w:tblPr>
      <w:tblGrid>
        <w:gridCol w:w="1651"/>
        <w:gridCol w:w="146"/>
        <w:gridCol w:w="294"/>
        <w:gridCol w:w="726"/>
        <w:gridCol w:w="150"/>
        <w:gridCol w:w="294"/>
        <w:gridCol w:w="726"/>
        <w:gridCol w:w="146"/>
        <w:gridCol w:w="396"/>
        <w:gridCol w:w="729"/>
        <w:gridCol w:w="146"/>
        <w:gridCol w:w="627"/>
        <w:gridCol w:w="604"/>
      </w:tblGrid>
      <w:tr>
        <w:trPr/>
        <w:tc>
          <w:tcPr>
            <w:tcW w:w="1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9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50"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38"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w:t>
            </w:r>
          </w:p>
        </w:tc>
        <w:tc>
          <w:tcPr>
            <w:tcW w:w="15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w:t>
            </w:r>
          </w:p>
        </w:tc>
        <w:tc>
          <w:tcPr>
            <w:tcW w:w="14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6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 increased by €0.5 million, or 51% from €1.0 million for the year ended December 31, 2024 to €1.6 million for the year ended December 31, 2025. The increase was driven by an increase of €0.6 million in foreign exchange gains on financial operations, partially offset by a decrease of €0.1 million in financial income from cash and cash equivalents. The increase in foreign exchange gains on financial operations was primarily due to favorable changes in foreign currency exchange rates.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tbl>
      <w:tblPr>
        <w:tblW w:w="7495" w:type="dxa"/>
        <w:jc w:val="left"/>
        <w:tblInd w:w="0" w:type="dxa"/>
        <w:tblLayout w:type="fixed"/>
        <w:tblCellMar>
          <w:top w:w="0" w:type="dxa"/>
          <w:left w:w="0" w:type="dxa"/>
          <w:bottom w:w="0" w:type="dxa"/>
          <w:right w:w="0" w:type="dxa"/>
        </w:tblCellMar>
      </w:tblPr>
      <w:tblGrid>
        <w:gridCol w:w="1756"/>
        <w:gridCol w:w="146"/>
        <w:gridCol w:w="286"/>
        <w:gridCol w:w="781"/>
        <w:gridCol w:w="241"/>
        <w:gridCol w:w="146"/>
        <w:gridCol w:w="286"/>
        <w:gridCol w:w="781"/>
        <w:gridCol w:w="241"/>
        <w:gridCol w:w="146"/>
        <w:gridCol w:w="286"/>
        <w:gridCol w:w="781"/>
        <w:gridCol w:w="241"/>
        <w:gridCol w:w="146"/>
        <w:gridCol w:w="627"/>
        <w:gridCol w:w="604"/>
      </w:tblGrid>
      <w:tr>
        <w:trPr/>
        <w:tc>
          <w:tcPr>
            <w:tcW w:w="17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6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17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17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9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1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6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increased by €1.3 million, or 53%, from €2.5 million for the year ended December 31, 2024 to €3.9 million for the year ended December 31, 2025. The increase was primarily driven by higher interest on borrowings, reflecting new debt, including the IFA loan (defined below) of €5.1 million entered into in 2025, as well as an increase of €1.0 million in accretion expense on contract liabilities.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Financial Expense</w:t>
      </w:r>
    </w:p>
    <w:tbl>
      <w:tblPr>
        <w:tblW w:w="7990" w:type="dxa"/>
        <w:jc w:val="left"/>
        <w:tblInd w:w="0" w:type="dxa"/>
        <w:tblLayout w:type="fixed"/>
        <w:tblCellMar>
          <w:top w:w="0" w:type="dxa"/>
          <w:left w:w="0" w:type="dxa"/>
          <w:bottom w:w="0" w:type="dxa"/>
          <w:right w:w="0" w:type="dxa"/>
        </w:tblCellMar>
      </w:tblPr>
      <w:tblGrid>
        <w:gridCol w:w="2431"/>
        <w:gridCol w:w="146"/>
        <w:gridCol w:w="286"/>
        <w:gridCol w:w="781"/>
        <w:gridCol w:w="241"/>
        <w:gridCol w:w="146"/>
        <w:gridCol w:w="286"/>
        <w:gridCol w:w="601"/>
        <w:gridCol w:w="241"/>
        <w:gridCol w:w="146"/>
        <w:gridCol w:w="286"/>
        <w:gridCol w:w="781"/>
        <w:gridCol w:w="241"/>
        <w:gridCol w:w="146"/>
        <w:gridCol w:w="706"/>
        <w:gridCol w:w="525"/>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8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1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 increased by €3.9 million, or 636% from €0.6 million for the year ended December 31, 2024 to €4.5 million for the year ended December 31, 2025. The increase was primarily attributable to an increase of €1.6 million in issuance costs of the ORA Bonds (defined below) issued in 2025, an increase of €2.1 million in foreign exchange losses on financial operations and increase of €0.2 million in interest expense on lease liabilities. The increase in foreign exchange losses on financial operations was primarily due to unfavorable changes in foreign currency exchange rates.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Income Tax (Expense) Benefit</w:t>
      </w:r>
    </w:p>
    <w:tbl>
      <w:tblPr>
        <w:tblW w:w="7971" w:type="dxa"/>
        <w:jc w:val="left"/>
        <w:tblInd w:w="0" w:type="dxa"/>
        <w:tblLayout w:type="fixed"/>
        <w:tblCellMar>
          <w:top w:w="0" w:type="dxa"/>
          <w:left w:w="0" w:type="dxa"/>
          <w:bottom w:w="0" w:type="dxa"/>
          <w:right w:w="0" w:type="dxa"/>
        </w:tblCellMar>
      </w:tblPr>
      <w:tblGrid>
        <w:gridCol w:w="2986"/>
        <w:gridCol w:w="146"/>
        <w:gridCol w:w="318"/>
        <w:gridCol w:w="536"/>
        <w:gridCol w:w="268"/>
        <w:gridCol w:w="162"/>
        <w:gridCol w:w="318"/>
        <w:gridCol w:w="586"/>
        <w:gridCol w:w="146"/>
        <w:gridCol w:w="286"/>
        <w:gridCol w:w="601"/>
        <w:gridCol w:w="241"/>
        <w:gridCol w:w="146"/>
        <w:gridCol w:w="745"/>
        <w:gridCol w:w="486"/>
      </w:tblGrid>
      <w:tr>
        <w:trPr/>
        <w:tc>
          <w:tcPr>
            <w:tcW w:w="29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88"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62"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39"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6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 decreased by €0.4 million, or 127% from €0.3 million for the year ended December 31, 2024 to (€0.1) million for the year ended December 31, 2025. The difference between the theoretical tax and the income tax expense benefit recognized is primarily due to tax losses carried forward for which no deferred tax assets have been recognized.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Pasqal has incurred significant losses. As of June 30, 2026 and December 31, 2025, Pasqal had an accumulated deficit of €124.9 million and €32.5 million, respectively. For the six months ended June 30, 2026 and 2025, Pasqal incurred net losses of €53.2 million and €26.1 million, respectively. For the years ended December 31, 2025 and 2024, Pasqal incurred net losses of €92.4 million and €48.5 million, respectively. Pasqal expects to incur significant losses for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Pasqal has historically funded its operations, capital expenditures, and working capital requirements from issuances of shares and convertible bonds, loans and borrowings from financial institutions, net proceeds from the closing of the Business Combination, and grants received from government organizations. As of June 30, 2026, Pasqal had cash and cash equivalents of €110.8 million. Pasqal believes that its cash and cash equivalents as of June 30, 2026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proceeds from the closing of the Business Combination and the March 2026 Financing will be sufficient to meet its working capital and capital expenditure needs for the next twelve months from the date of this Discussion and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receives cash from government grants, which may not be recurring in nature. For the  six months ended June 30, 2026 and 2025, the Company received government investment and income-related grants in cash of €0.5 million and €3.4 million, respectively. These government grants historically received were awarded by local governments in France, other European countries, and South Korea, primarily in recognition of Pasqal’s contributions to its research, development, and industrial deployment programs and projects. These grants are typically evaluated on an annual or project basis, based on prevailing local regulations and policies, and are thus non-recurring in nature. Consequently, there is no guarantee that Pasqal will continue receiving or benefiting from them in the future and it is also challenging for Pasqal to predict the amounts of future grants. Under the terms and conditions of the government grants received and anticipated to be received, in some cases, the Company is required to meet certain requirements such as achievement of certain technological milestones, achievement of employment targets, and execution of committed investment expenditures. There can be no assurance that Pasqal will be able to fully satisfy these conditions or perform such obligations, and it is possible that regulatory authorities may discontinue such grants or require Pasqal to repay part or all of the government grants Pasqal previously received. Any reduction, cancellation, or repayment resulting from Pasqal’s failure to perform such obligations could adversely affect Pasqal’s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Date, Pasqal completed the Business Combination and received aggregate proceeds of $27.7 million from the trust account established in connection with Bleichroeder’s initial public offering. Substantially concurrently with the closing of the Business Combination, Pasqal consummated the March 2026 Financing and received aggregate proceeds of $250.0 million. Pasqal expects that the proceeds from the Business Combination and the March 2026 Financing, together with cash flows from operating activities and proceeds from future debt and equity financings, are expected to support its ongoing business operations and future growth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future capital requirements will depend on several factors, including its ability to attract and retain customers, the continuing market acceptance of its products and services, the introduction of new or upgraded products and services, the technological choices it makes, the expansion of sales and marketing activities, and overall economic conditions. Pasqal’s primary short-term cash requirements are to fund working capital and lease obligations. Working capital requirements can vary significantly from period to period, particularly as a result of the timing of receipts and disbursements related to long-term contracts. Pasqal’s medium-term to long-term cash requirements are primarily to invest in facilities, equipment, technologies, personnel, research and development, and strategic acquisitions. Pasqal could be required, or could elect, to seek additional funding through public or private equity or debt financings or other capital sources; however, additional funds may not be available on terms acceptable to Pasqal,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product roadmap benefits significantly from external funding sources to advance the technological roadmap across quantum computing. Pasqal invests aggressively in research and development across quantum computing, including capital expenditures, business development, and engineering. In addition to the neutral-atom quantum computers in its technological roadmap, Pasqal also provides (i) cloud services that let users run quantum algorithms, simulations, and applications without specialized on-premises hardware and (ii) a software suite that enables the design, compilation, and integration of quantum algorithms into existing applications and workflows. Pasqal expects to continue to invest in research and development as a public company to fund these technological priorities and scale toward digital fault-tolerant quantum computing. While there can be no assurances, Pasqal intends to raise such capital through additional equity or debt fundraising activities. If additional financing is required from outside sources, Pasqal may not be able to raise it on terms acceptable to Pasqal or at all. If Pasqal is unable to raise additional capital when desired, Pasqal’s business, results of operations, and financial condition would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First-Demand Guarantee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contracts entered into with its customers, Saudi Arabian Oil Company and CINECA, Pasqal provided a first-demand bank guarantee in favor of the customers to support its performance obligations under the related agreements. As collateral for this guarantee, Pasqal pledged a cash deposit with the issuing bank; the cash deposit by Pasqal is recognized as deposits within non-current assets in Pasqal’s condensed consolidated financial statements. As of June 30, 2026, the associated pledged deposit for Saudi Arabian Oil Company and CINECA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was €7.6 million and €0.3 million, respectively. As of December 31, 2025, the associated pledged deposit totaled €7.3 million and related solely to the Saudi Arabian Oil Company contract, as the CINECA guarantee had not yet been established.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Borrowings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Pasqal’s outstanding borrowings, including accrued interest and excluding any redeemable and convertible bonds, consisted of the following:</w:t>
      </w:r>
    </w:p>
    <w:tbl>
      <w:tblPr>
        <w:tblW w:w="7106" w:type="dxa"/>
        <w:jc w:val="left"/>
        <w:tblInd w:w="0" w:type="dxa"/>
        <w:tblLayout w:type="fixed"/>
        <w:tblCellMar>
          <w:top w:w="0" w:type="dxa"/>
          <w:left w:w="0" w:type="dxa"/>
          <w:bottom w:w="0" w:type="dxa"/>
          <w:right w:w="0" w:type="dxa"/>
        </w:tblCellMar>
      </w:tblPr>
      <w:tblGrid>
        <w:gridCol w:w="4081"/>
        <w:gridCol w:w="146"/>
        <w:gridCol w:w="286"/>
        <w:gridCol w:w="826"/>
        <w:gridCol w:w="146"/>
        <w:gridCol w:w="400"/>
        <w:gridCol w:w="1221"/>
      </w:tblGrid>
      <w:tr>
        <w:trPr/>
        <w:tc>
          <w:tcPr>
            <w:tcW w:w="40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br/>
              <w:t>2026</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br/>
              <w:t>2025</w:t>
            </w:r>
          </w:p>
        </w:tc>
      </w:tr>
      <w:tr>
        <w:trPr/>
        <w:tc>
          <w:tcPr>
            <w:tcW w:w="4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7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BDC Capital Inc.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Investissement Québec – Pasqal Canada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w:t>
            </w:r>
          </w:p>
        </w:tc>
        <w:tc>
          <w:tcPr>
            <w:tcW w:w="146"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2,691</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1,128</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Innovation R&amp;D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w:t>
            </w:r>
          </w:p>
        </w:tc>
        <w:tc>
          <w:tcPr>
            <w:tcW w:w="146"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Assurance Prospection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IFA Loan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2,236</w:t>
            </w:r>
          </w:p>
        </w:tc>
        <w:tc>
          <w:tcPr>
            <w:tcW w:w="146"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borrowings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10,650</w:t>
            </w:r>
          </w:p>
        </w:tc>
        <w:tc>
          <w:tcPr>
            <w:tcW w:w="146" w:type="dxa"/>
            <w:tcBorders/>
            <w:vAlign w:val="bottom"/>
          </w:tcPr>
          <w:p>
            <w:pPr>
              <w:pStyle w:val="TableContents"/>
              <w:bidi w:val="0"/>
              <w:spacing w:before="0" w:after="283"/>
              <w:jc w:val="left"/>
              <w:rPr/>
            </w:pPr>
            <w:r>
              <w:rPr/>
              <w:t> </w:t>
            </w:r>
          </w:p>
        </w:tc>
        <w:tc>
          <w:tcPr>
            <w:tcW w:w="4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10,526</w:t>
            </w:r>
          </w:p>
        </w:tc>
      </w:tr>
      <w:tr>
        <w:trPr/>
        <w:tc>
          <w:tcPr>
            <w:tcW w:w="4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21"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2,854</w:t>
            </w:r>
          </w:p>
        </w:tc>
        <w:tc>
          <w:tcPr>
            <w:tcW w:w="146"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2,886</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7,796</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7,640</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borrowings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10,650</w:t>
            </w:r>
          </w:p>
        </w:tc>
        <w:tc>
          <w:tcPr>
            <w:tcW w:w="146" w:type="dxa"/>
            <w:tcBorders/>
            <w:vAlign w:val="bottom"/>
          </w:tcPr>
          <w:p>
            <w:pPr>
              <w:pStyle w:val="TableContents"/>
              <w:bidi w:val="0"/>
              <w:spacing w:before="0" w:after="283"/>
              <w:jc w:val="left"/>
              <w:rPr/>
            </w:pPr>
            <w:r>
              <w:rPr/>
              <w:t> </w:t>
            </w:r>
          </w:p>
        </w:tc>
        <w:tc>
          <w:tcPr>
            <w:tcW w:w="4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Pasqal’s outstanding borrowings consist primarily of the below debt agreements.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BDC Capital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18, 2024, Pasqal entered into a loan agreement with BDC Capital Inc. in the aggregate principal amount of €2.0 million. The loan bears interest at a fixed rate of 15.00 % per annum and matured on September 19, 2026. The loan was repaid in full on September 17,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Investissement Québec — Pasqal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27, 2024, Pasqal entered into a loan agreement with Investissement Québec for a facility of up to CAD 15.0 million or €9.9 million, with a maturity date of September 27, 2034. On September 27, 2024, Pasqal received an initial disbursement under the facility of CAD 4.2 million or €2.8 million. In addition, on April 14, 2025, Pasqal received an additional drawdown under the facility of CAD 1.1 million or €0.7 million. Borrowings under the facility bear interest at a fixed rate of 4.09% per annum, which is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 See Note 10 of Pasqal’s audited consolidated financial statements included elsewhere in this prospectus for further details.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BPI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31, 2021, Pasqal entered into an Amorçage Investissement loan with BPI in an aggregate principal amount of €2.0 million, with a maturity date of December 31, 2029. The loan bears interest at a fixed rate of 3.57% per annum, which is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 See Note 10 of Pasqal’s audited consolidated financial statements included elsewhere in this prospectus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30, 2021, Pasqal entered into an Innovation R&amp;D loan with BPI in an aggregate principal amount of €2.0 million, with a maturity date of June 30, 2029. The loan bears interest at a fixed rate of 0.71% per annum, which is below the market rate for comparable borrowings. The difference between the proceeds received and the fair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 at inception is treated as a government grant resulting in recognition of deferred income with government grant income recognized in profit or loss on a systematic basis over the term of the loan. See Note 10 of Pasqal’s audited consolidated financial statements included elsewhere in this prospectus for further details.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IFA Loan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7, 2025, Pasqal entered into a USD 15.0 million or €12.9 million ten-year financing arrangement with the Illinois Finance Authority (“</w:t>
      </w:r>
      <w:r>
        <w:rPr>
          <w:rFonts w:ascii="Times New Roman PS Std;serif" w:hAnsi="Times New Roman PS Std;serif"/>
          <w:b/>
          <w:i w:val="false"/>
          <w:caps w:val="false"/>
          <w:smallCaps w:val="false"/>
          <w:sz w:val="20"/>
        </w:rPr>
        <w:t>IFA</w:t>
      </w:r>
      <w:r>
        <w:rPr>
          <w:rFonts w:ascii="Times New Roman PS Std;serif" w:hAnsi="Times New Roman PS Std;serif"/>
          <w:b w:val="false"/>
          <w:i w:val="false"/>
          <w:caps w:val="false"/>
          <w:smallCaps w:val="false"/>
          <w:sz w:val="20"/>
        </w:rPr>
        <w:t>”) to support its development in the U.S. As of December 31, 2025, Pasqal had drawn €5.1 million under the IFA loan. The IFA loan bears interest at a fixed rate of 3.55% per annum and includes a deferred-interest period; the IFA loan bears an interest rate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 See Note 10 of Pasqal’s audited consolidated financial statements included elsewhere in this prospectus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parallel, Pasqal entered into a long-term Tax Credit Agreement with the State of Illinois (“MICRO”), under which it may earn refundable tax credits over a ten-year period based on eligible expenses. The revocation of MICRO credits constitutes an event of default under the loan agreement. A variable fee may be owed to the IFA for quantum computers manufactured at the Illinois site and sold or leased during the loan term. As of June 30, 2026, no such fee has been incurred.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financing arrangements described above are not subject to financial covenants that could affect the terms, repayment schedule, or continuity of the financing arrangements.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Bonds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OCA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5, 2024, Pasqal issued convertible bonds to CMA CGM Group for an aggregate principal amount of €5.0 million with an interest rate of 5% per annum and maturity date of December 31, 2025 (the “</w:t>
      </w:r>
      <w:r>
        <w:rPr>
          <w:rFonts w:ascii="Times New Roman PS Std;serif" w:hAnsi="Times New Roman PS Std;serif"/>
          <w:b/>
          <w:i w:val="false"/>
          <w:caps w:val="false"/>
          <w:smallCaps w:val="false"/>
          <w:sz w:val="20"/>
        </w:rPr>
        <w:t>OCA Bonds</w:t>
      </w:r>
      <w:r>
        <w:rPr>
          <w:rFonts w:ascii="Times New Roman PS Std;serif" w:hAnsi="Times New Roman PS Std;serif"/>
          <w:b w:val="false"/>
          <w:i w:val="false"/>
          <w:caps w:val="false"/>
          <w:smallCaps w:val="false"/>
          <w:sz w:val="20"/>
        </w:rPr>
        <w:t>”). The OCA Bonds are converted into the most senior class of shares upon a change of control or at the option of the holder, at maturity. The OCA Bonds also convert upon a qualifying raise that occurs more than three months from the OCA Bonds’ issuance date, into the same class of shares issued to investors in that raise. In addition to the conversion features, the OCA Bonds have redemption features which permits the holder of the OCA Bonds to redeem for cash upon an event of default, upon a qualifying raise that occurs within three months from the OCA Bonds’ issuance date, or at maturity.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15, 2025, the CMA CGM Group requested repayment of an amount equal to the aggregate principal and accrued interest, totaling €5.3 million. The liability due to CMA CGM Group was settled through the issuance of convertible bonds for €5.3 million (the “</w:t>
      </w:r>
      <w:r>
        <w:rPr>
          <w:rFonts w:ascii="Times New Roman PS Std;serif" w:hAnsi="Times New Roman PS Std;serif"/>
          <w:b/>
          <w:i w:val="false"/>
          <w:caps w:val="false"/>
          <w:smallCaps w:val="false"/>
          <w:sz w:val="20"/>
        </w:rPr>
        <w:t>ORA Bonds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Redeemable Bonds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ORA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2025 and December 2025, Pasqal issued ORA Bonds to various parties for an aggregate principal amount of €68.3 million with an interest rate per annum of 12% and maturity date of June 30, 2026. The ORA Bonds are converted to either Series B or Series C shares, accompanied by the related ratchet warrants, upon the occurrence of one of the following events: qualified equity financing, non-qualified equity financing (at the option of the holder), exit event, IPO event, event of default, at maturity date, or any other mutually agreed redemption event. On March 2, 2026, the ORA Bonds were converted to 682,542 Series C shares at €139.54 per share, accompanied by ratchet warrants as a result of the issuance of Series C shares on February 28, 2026, which represented a qualified equity financing redemption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Upon conversion, Pasqal remeasured the fair value of the ORA Bonds as of the conversion date and derecognized the carrying amount of the liability, with a corresponding increase to equity. Accordingly, Pasqal recognized €7.0 million of change in fair value in the condensed half-year consolidated statement of profit or loss immediately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conversion. As the ratchet warrants attached to the Series C shares were determined to have a nil fair value at inception, the entire fair value of the ORA Bonds at the conversion date was allocated to the Series C shares issued upon conversion.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Series C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Pasqal executed a shareholders’ agreement with certain new and existing investors for the issuance of 225,741 Series C shares of Pasqal for total proceeds of €31.5 million, at a per-share price of €139.54. During January and February 2026, Pasqal issued 499,769 Series C shares at a price of €139.54 per share, for total proceeds of €69.7 million. Under the terms of the shareholders agreement, the Series C have the following ratchet warrants attached (collectively referred to as the “</w:t>
      </w:r>
      <w:r>
        <w:rPr>
          <w:rFonts w:ascii="Times New Roman PS Std;serif" w:hAnsi="Times New Roman PS Std;serif"/>
          <w:b/>
          <w:i w:val="false"/>
          <w:caps w:val="false"/>
          <w:smallCaps w:val="false"/>
          <w:sz w:val="20"/>
        </w:rPr>
        <w:t>BSA Ratchets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BSA Ratchet C” warrants are attached to all Pasqal Series C shares and entitle the holder to subscribe, at a nominal value, for additional Pasqal Series C shares in the event that Pasqal issues new shares or other securities that give access to a portion of its share capital based on a per-share price lower than the per-share price in the Series C financing of €139.54. The BSA Ratchet C warrants cease to be exercisable on the date Pasqal completes a direct or indirect initial public offering, including in connection with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BSA Ratchet C*” warrants are held by any participant in Series C financing whose investment was completed or committed prior to December 31, 2025 and entitle the holder to subscribe, at a nominal value, for additional Pasqal Series C shares in the event that Pasqal completes an initial public offering, including through a special purpose acquisition company, under which the pre-money valuation of Pasqal on a fully-diluted basis is less than $2.0 billion (a “</w:t>
      </w:r>
      <w:r>
        <w:rPr>
          <w:rFonts w:ascii="Times New Roman PS Std;serif" w:hAnsi="Times New Roman PS Std;serif"/>
          <w:b/>
          <w:i w:val="false"/>
          <w:caps w:val="false"/>
          <w:smallCaps w:val="false"/>
          <w:sz w:val="20"/>
        </w:rPr>
        <w:t>Qualified IPO</w:t>
      </w:r>
      <w:r>
        <w:rPr>
          <w:rFonts w:ascii="Times New Roman PS Std;serif" w:hAnsi="Times New Roman PS Std;serif"/>
          <w:b w:val="false"/>
          <w:i w:val="false"/>
          <w:caps w:val="false"/>
          <w:smallCaps w:val="false"/>
          <w:sz w:val="20"/>
        </w:rPr>
        <w:t>”). The BSA Ratchet C* warrants cease to be exercisable following a period of sixty days from the notification by Pasqal of either a Qualified IPO or a direct or indirect initial public offering project (including in connection with the Business Combination) with a pre-money valuation of Pasqal on a fully diluted basis that is greater than or equal to USD $2.0 billion.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BSA Ratchet C**” warrants are held by any participant in Series C financing whose investment was completed or committed prior to December 31, 2025 and entitle the holder to subscribe, at a nominal value, for additional Pasqal Series C shares in the event Pasqal does not sign a business combination agreement with a special purpose acquisition company. Upon execution of the Business Combination Agreement on February 28, 2026, the BSA Ratchet C** warrants expired.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Contractual Obligations and Other 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primary use of cash is to fund its business operations, which consist primarily of employee-related costs, research and development activities, working capital requirements, lease obligations, capital expenditures and other anticipated costs to scale operations in the future and operate as a public company. Pasqal requires a significant amount of cash for expenditures and continued investment in ongoing quantum research and development and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Because of the numerous risks and uncertainties associated with research, development, and commercialization of Pasqal’s quantum technology, Pasqal is unable to estimate the exact amount of its working capital requirements. Pasqal’s operating plan may change because of factors currently unknown, and Pasqal may need to seek additional funds sooner than planned, through public or private equity or debt financings or other sources, such as strategic collaborations or other transactions. In addition, Pasqal may seek additional capital even if Pasqal believes that it has sufficient funds for current or future operating plans. Such financings may result in dilution to shareholders, issuance of securities with priority as to liquidation and dividend and other rights more favorable than ordinary shares, imposition of debt covenants and repayment obligations or other restrictions that may adversely affect the business. Debt financing and equity financing, if available, may involve agreements that include covenants limiting or restricting Pasqal’s ability to take specific actions, such as incurring additional debt, making capital expenditures or declaring dividends. If Pasqal is unable to raise additional funds through equity or debt financings when needed, Pasqal may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required to delay, limit, or substantially reduce its quantum computing development efforts. Pasqal’s future capital requirements and the adequacy of available funds will depend on many factors, including those set forth in the section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included elsewhere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Pasqal’s contractual obligations and commitments are related to its lease obligations for office spaces and manufacturing facilities and contractual payments on its outstanding borrowings described above. The following tables summarize Pasqal’s contractual obligations and commitments as of June 30, 2026 and December 31, 2025. The amounts are gross and undiscounted, and include contractual interest payments and anticipated prepayments and related penalties: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Contractual Obligations as of June 30, 2026</w:t>
      </w:r>
    </w:p>
    <w:tbl>
      <w:tblPr>
        <w:tblW w:w="10205" w:type="dxa"/>
        <w:jc w:val="left"/>
        <w:tblInd w:w="0" w:type="dxa"/>
        <w:tblLayout w:type="fixed"/>
        <w:tblCellMar>
          <w:top w:w="0" w:type="dxa"/>
          <w:left w:w="0" w:type="dxa"/>
          <w:bottom w:w="0" w:type="dxa"/>
          <w:right w:w="0" w:type="dxa"/>
        </w:tblCellMar>
      </w:tblPr>
      <w:tblGrid>
        <w:gridCol w:w="3479"/>
        <w:gridCol w:w="146"/>
        <w:gridCol w:w="286"/>
        <w:gridCol w:w="826"/>
        <w:gridCol w:w="146"/>
        <w:gridCol w:w="362"/>
        <w:gridCol w:w="1048"/>
        <w:gridCol w:w="146"/>
        <w:gridCol w:w="286"/>
        <w:gridCol w:w="706"/>
        <w:gridCol w:w="146"/>
        <w:gridCol w:w="370"/>
        <w:gridCol w:w="1072"/>
        <w:gridCol w:w="146"/>
        <w:gridCol w:w="286"/>
        <w:gridCol w:w="754"/>
      </w:tblGrid>
      <w:tr>
        <w:trPr/>
        <w:tc>
          <w:tcPr>
            <w:tcW w:w="347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Amount</w:t>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Contractual </w:t>
              <w:br/>
              <w:t>Cash Flow</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Within </w:t>
              <w:br/>
              <w:t>1 Year</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w:t>
              <w:br/>
              <w:t>1 and 5 Years</w:t>
            </w:r>
          </w:p>
        </w:tc>
        <w:tc>
          <w:tcPr>
            <w:tcW w:w="146"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3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80"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9,879</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4,554</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4" w:type="dxa"/>
            <w:tcBorders/>
            <w:vAlign w:val="bottom"/>
          </w:tcPr>
          <w:p>
            <w:pPr>
              <w:pStyle w:val="TableContents"/>
              <w:bidi w:val="0"/>
              <w:spacing w:before="0" w:after="283"/>
              <w:jc w:val="left"/>
              <w:rPr/>
            </w:pPr>
            <w:r>
              <w:rPr/>
              <w:t> </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BDC Capital Inc.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Investissement Québec – Pasqal Canada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1,128</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Innovation R&amp;D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Assurance Prospection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bidi w:val="0"/>
              <w:spacing w:before="0" w:after="283"/>
              <w:jc w:val="left"/>
              <w:rPr/>
            </w:pPr>
            <w:r>
              <w:rPr/>
              <w:t> </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IFA Loan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2,236</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20,529</w:t>
            </w:r>
          </w:p>
        </w:tc>
        <w:tc>
          <w:tcPr>
            <w:tcW w:w="146" w:type="dxa"/>
            <w:tcBorders/>
            <w:vAlign w:val="bottom"/>
          </w:tcPr>
          <w:p>
            <w:pPr>
              <w:pStyle w:val="TableContents"/>
              <w:bidi w:val="0"/>
              <w:spacing w:before="0" w:after="283"/>
              <w:jc w:val="left"/>
              <w:rPr/>
            </w:pPr>
            <w:r>
              <w:rPr/>
              <w:t> </w:t>
            </w:r>
          </w:p>
        </w:tc>
        <w:tc>
          <w:tcPr>
            <w:tcW w:w="36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4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26,938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4,105</w:t>
            </w:r>
          </w:p>
        </w:tc>
        <w:tc>
          <w:tcPr>
            <w:tcW w:w="146" w:type="dxa"/>
            <w:tcBorders/>
            <w:vAlign w:val="bottom"/>
          </w:tcPr>
          <w:p>
            <w:pPr>
              <w:pStyle w:val="TableContents"/>
              <w:bidi w:val="0"/>
              <w:spacing w:before="0" w:after="283"/>
              <w:jc w:val="left"/>
              <w:rPr/>
            </w:pPr>
            <w:r>
              <w:rPr/>
              <w:t> </w:t>
            </w:r>
          </w:p>
        </w:tc>
        <w:tc>
          <w:tcPr>
            <w:tcW w:w="37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13,810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Excludes commitments and guarantees between Legacy Pasqal and New Pasqal and its subsidiaries and the first-demand guarantees in connection with the contracts entered into with Saudi Arabian Oil Company and CINECA.</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Contractual Obligations as of December 31, 2025</w:t>
      </w:r>
    </w:p>
    <w:tbl>
      <w:tblPr>
        <w:tblW w:w="10205" w:type="dxa"/>
        <w:jc w:val="left"/>
        <w:tblInd w:w="0" w:type="dxa"/>
        <w:tblLayout w:type="fixed"/>
        <w:tblCellMar>
          <w:top w:w="0" w:type="dxa"/>
          <w:left w:w="0" w:type="dxa"/>
          <w:bottom w:w="0" w:type="dxa"/>
          <w:right w:w="0" w:type="dxa"/>
        </w:tblCellMar>
      </w:tblPr>
      <w:tblGrid>
        <w:gridCol w:w="3479"/>
        <w:gridCol w:w="146"/>
        <w:gridCol w:w="286"/>
        <w:gridCol w:w="826"/>
        <w:gridCol w:w="146"/>
        <w:gridCol w:w="362"/>
        <w:gridCol w:w="1048"/>
        <w:gridCol w:w="146"/>
        <w:gridCol w:w="286"/>
        <w:gridCol w:w="706"/>
        <w:gridCol w:w="146"/>
        <w:gridCol w:w="370"/>
        <w:gridCol w:w="1072"/>
        <w:gridCol w:w="146"/>
        <w:gridCol w:w="286"/>
        <w:gridCol w:w="754"/>
      </w:tblGrid>
      <w:tr>
        <w:trPr/>
        <w:tc>
          <w:tcPr>
            <w:tcW w:w="347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Amount</w:t>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Contractual </w:t>
              <w:br/>
              <w:t>Cash Flow</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Within </w:t>
              <w:br/>
              <w:t>1 Year</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w:t>
              <w:br/>
              <w:t>1 and 5 Years</w:t>
            </w:r>
          </w:p>
        </w:tc>
        <w:tc>
          <w:tcPr>
            <w:tcW w:w="146"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3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80"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10,151</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2,235</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3,999</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4" w:type="dxa"/>
            <w:tcBorders/>
            <w:vAlign w:val="bottom"/>
          </w:tcPr>
          <w:p>
            <w:pPr>
              <w:pStyle w:val="TableContents"/>
              <w:bidi w:val="0"/>
              <w:spacing w:before="0" w:after="283"/>
              <w:jc w:val="left"/>
              <w:rPr/>
            </w:pPr>
            <w:r>
              <w:rPr/>
              <w:t> </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BDC Capital Inc.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Investissement Québec – Pasqal Canada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2,691</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Innovation R&amp;D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IFA Loan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3,262</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20,677</w:t>
            </w:r>
          </w:p>
        </w:tc>
        <w:tc>
          <w:tcPr>
            <w:tcW w:w="146" w:type="dxa"/>
            <w:tcBorders/>
            <w:shd w:fill="CCEEFF" w:val="clear"/>
            <w:vAlign w:val="bottom"/>
          </w:tcPr>
          <w:p>
            <w:pPr>
              <w:pStyle w:val="TableContents"/>
              <w:bidi w:val="0"/>
              <w:spacing w:before="0" w:after="283"/>
              <w:jc w:val="left"/>
              <w:rPr/>
            </w:pPr>
            <w:r>
              <w:rPr/>
              <w:t> </w:t>
            </w:r>
          </w:p>
        </w:tc>
        <w:tc>
          <w:tcPr>
            <w:tcW w:w="36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5,408</w:t>
            </w:r>
          </w:p>
        </w:tc>
        <w:tc>
          <w:tcPr>
            <w:tcW w:w="146" w:type="dxa"/>
            <w:tcBorders/>
            <w:shd w:fill="CCEEFF" w:val="clear"/>
            <w:vAlign w:val="bottom"/>
          </w:tcPr>
          <w:p>
            <w:pPr>
              <w:pStyle w:val="TableContents"/>
              <w:bidi w:val="0"/>
              <w:spacing w:before="0" w:after="283"/>
              <w:jc w:val="left"/>
              <w:rPr/>
            </w:pPr>
            <w:r>
              <w:rPr/>
              <w:t> </w:t>
            </w:r>
          </w:p>
        </w:tc>
        <w:tc>
          <w:tcPr>
            <w:tcW w:w="3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13,875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Excludes commitments and guarantees between Legacy Pasqal and New Pasqal and its subsidiaries and the first-demand guarantee in connection with the contract entered into with Saudi Arabian Oil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Pasqal’s cash flows for the six months ended June 30, 2026 and 2025:</w:t>
      </w:r>
    </w:p>
    <w:tbl>
      <w:tblPr>
        <w:tblW w:w="7829" w:type="dxa"/>
        <w:jc w:val="left"/>
        <w:tblInd w:w="0" w:type="dxa"/>
        <w:tblLayout w:type="fixed"/>
        <w:tblCellMar>
          <w:top w:w="0" w:type="dxa"/>
          <w:left w:w="0" w:type="dxa"/>
          <w:bottom w:w="0" w:type="dxa"/>
          <w:right w:w="0" w:type="dxa"/>
        </w:tblCellMar>
      </w:tblPr>
      <w:tblGrid>
        <w:gridCol w:w="4636"/>
        <w:gridCol w:w="146"/>
        <w:gridCol w:w="286"/>
        <w:gridCol w:w="901"/>
        <w:gridCol w:w="241"/>
        <w:gridCol w:w="146"/>
        <w:gridCol w:w="286"/>
        <w:gridCol w:w="901"/>
        <w:gridCol w:w="286"/>
      </w:tblGrid>
      <w:tr>
        <w:trPr/>
        <w:tc>
          <w:tcPr>
            <w:tcW w:w="46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4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(19,956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 and cash equivalents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Six months ended June 30,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during the six months ended June 30, 2026, was €25.2 million, resulting primarily from a net loss of €53.2 million, offset by €22.7 million in net change of non-cash adjustments and interest paid in the period, and changes in operating assets and liabilities of €5.3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€22.7 million in non-cash adjustments and interest paid primarily include share-based payment and other personnel expenses of €23.4 million, depreciation of property, plant and equipment and amortization of intangible assets and impairments of €4.4 million, financial expense of €1.7 million, and interest paid of €0.2 million, partially offset by changes in the fair value of financial liabilities at FVTPL of €7.0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€5.3 million change in operating assets and liabilities for the six months ended June 30, 2026 consisted primarily of a €4.0 million increase in contract liabilities, a €4.4 million increase in trade payables and related accounts, and a €6.6 million increase in other liabilities, offset by a €5.6 million increase in other receivables, a €0.5 million increase in trade receivables and related accounts, and a €3.5 million increase in inventories. The increase in contract liabilities was primarily due to an increase in advance billings under customer contracts and amounts related to the financing component of the Saudi Arabian Oil Company contract remaining in contract liabilities, partially offset by revenue recognized during the period. The increase in trade payables and related accounts was mainly attributable to legal, audit and consulting fees incurred in connection with the Business Combination and provision and accrued invoices recognized associated with the DistriQ project. The increase in other liabilities was primarily due to (i) higher social security liabilities and VAT liabilities, consisting of VAT collected on DistriQ billings in Canada and VAT-related obligations in Saudi Arabia and (ii) increase in the expense recognized for cash-settled SARs during the period. The increase in other receivables was primarily due to (i) higher French research tax credit receivables and receivables related to Canadian funding programs, reflecting the level of eligible expenditures incurred during the period, (ii) an increase in VAT receivables in France and Canada, and (iii) changes in prepaid expenses and other operating receivables. The increase in trade receivables and related accounts was primarily due to the initial billings under the Saudi Arabian Oil Company contract and final billings under the DistriQ contract offset by cash collections during the period from other customers. The increase in inventories was primarily due to a €1.2 million reversal of a previously recognized inventory impairment charge in connection with the agreement with DistriQ and an increase in purchases of raw materials held in inventory.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during the six months ended June 30, 2026, was €5.0 million, resulting primarily from the purchase of property, plant and equipment of €2.0 million, purchase of intangible assets of €2.4 million, change in deposits of €0.4 million, and payment of €0.5 million to former shareholders of MyCryoFirm, which was acquired by Pasqal in 2022, offset by receipt of government investment grants of €0.4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Provided by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from financing activities during the six months ended June 30, 2026, was €67.3 million resulting primarily from proceeds from capital increases of €68.5 million, offset by the repayment of borrowings and lease liabilities of €1.1 million and interest payments of €0.2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Six months ended June 30,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during the six months ended June 30, 2025, was €20.0 million, resulting primarily from a net loss of €26.1 million and a change in operating assets and liabilities of €0.5 million, offset by €6.6 million in net change of non-cash adjustments and interest paid in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€6.6 million in non-cash adjustments and interest paid primarily include share-based payment and other personnel expenses of €0.7 million, change in provisions of €4.4 million, depreciation of property, plant and equipment and amortization of intangible assets and impairments of €4.3 million, change in fair value of financial liabilities at FVTPL of €3.0 million, financial expense of €2.7 million, and interest paid of €0.4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€0.5 million change in operating assets and liabilities for the six months ended June 30, 2025 consisted of €2.0 million increase in contract liabilities, €3.8 million increase in trade payables and related accounts, €3.0 million increase in other liabilities, and €0.8 million decrease in trade receivables and related accounts, offset by €2.8 million increase in inventories and €7.2 million increase in other receivables. The increase in contract liabilities was mainly due to an increase in advances received from customers. The increase in trade payables and related accounts was primarily due to higher legal, audit, and consulting fees. The increase in other liabilities was primarily due to higher employee-related liabilities. The decrease in trade receivables and related accounts was primarily driven by lower accrued receivables for customers</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xml:space="preserve"> The increase in inventories was primarily due to the purchase of parts required to manufacture the quantum computers with delivery dates in 2025. The increase in other receivables was primarily due to interest receivables from financial accounts.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during the six months ended June 30, 2025, was €3.1 million, resulting from the purchase of property, plant and equipment of €4.9 million, purchase of intangible assets of €0.1 million, and payment of €0.2 million due to the liquidations of certain subsidiaries, offset by the proceeds from the sale of intangible assets of €0.1 million, change in deposits of €0.6 million, and receipt of government grants of €1.4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Provided by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from financing activities during the six months ended June 30, 2025, was €41.5 million resulting from proceeds from borrowings of €43.5 million, offset by repayments of borrowings of €1.6 million, and interest payments of €0.4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Pasqal’s cash flows for the years ended December 31, 2025 and 2024:</w:t>
      </w:r>
    </w:p>
    <w:tbl>
      <w:tblPr>
        <w:tblW w:w="7829" w:type="dxa"/>
        <w:jc w:val="left"/>
        <w:tblInd w:w="0" w:type="dxa"/>
        <w:tblLayout w:type="fixed"/>
        <w:tblCellMar>
          <w:top w:w="0" w:type="dxa"/>
          <w:left w:w="0" w:type="dxa"/>
          <w:bottom w:w="0" w:type="dxa"/>
          <w:right w:w="0" w:type="dxa"/>
        </w:tblCellMar>
      </w:tblPr>
      <w:tblGrid>
        <w:gridCol w:w="4636"/>
        <w:gridCol w:w="146"/>
        <w:gridCol w:w="286"/>
        <w:gridCol w:w="901"/>
        <w:gridCol w:w="241"/>
        <w:gridCol w:w="146"/>
        <w:gridCol w:w="286"/>
        <w:gridCol w:w="901"/>
        <w:gridCol w:w="286"/>
      </w:tblGrid>
      <w:tr>
        <w:trPr/>
        <w:tc>
          <w:tcPr>
            <w:tcW w:w="46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r>
      <w:tr>
        <w:trPr/>
        <w:tc>
          <w:tcPr>
            <w:tcW w:w="4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(28,595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 and cash equivalents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Year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cash flows from operating activities are significantly affected by the growth of the business, changes in fair value of financial liabilities at FVTPL, changes in provisions, ongoing working capital needs to support growth in personnel-related expenditures, and fluctuations in other current assets and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during the year ended December 31, 2025, was €24.3 million, resulting primarily from a net loss of €92.4 million, offset by €53.6 million in net change of non-cash adjustments and interest paid in the period and change in operating assets and liabilities of €14.3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€53.6 million in non-cash adjustments and interest paid primarily include share-based payment and other personnel expenses of €9.7 million, change in provision of €4.1 million, depreciation of property, plant and equipment and amortization of intangible assets and impairments of €8.8 million, changes in the fair value of financial liabilities at FVTPL of €34.9 million, gains and losses on disposal of assets of €0.2 million, financial expense of €3.4 million, and interest paid of €1.2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€14.3 million change in operating assets and liabilities for the year ended December 31, 2025 consisted primarily of a €10.0 million increase in contract liabilities, a €3.8 million increase in trade payables and related accounts, a €3.4 million decrease in inventories and a €0.9 million increase in other liabilities, partially offset by a €3.5 million increase in trade receivables and related accounts and a €0.3 million increase in other receivables. The increase in contract liabilities was primarily due to an increase in advances received from customers. The increase in trade payables and related accounts was mainly attributable to higher legal, audit and consulting fees incurred in connection with the Company’s preparation for becoming a public company. The decrease in inventories was primarily due to the delivery of QPUs during the year, combined with a €1.6 million impairment of work-in-progress inventory related to the contract entered into with Québec Inc. in 2025. The increase in other liabilities was primarily due to the recognition of deferred income related to the Korean grant of €0.9 million. The increase in trade receivables and related accounts was primarily attributable to the delivery of QPUs during the year, while the increase in other receivables was mainly due to interest receivable on financial assets.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during the year ended December 31, 2025, was €5.4 million, resulting primarily from the purchase of property, plant and equipment of €5.7 million, purchase of intangible assets of €5.1 million, change in deposits of €2.1 million primarily related to the first-demand guarantee in connection with the recovery of the first-demand guarantee related to the Sentier lease, receipt of government investment grants of €3.9 million, proceeds from the sale of intangible asset of €0.2 million, and payment of €0.5 million to former shareholders of MyCryoFirm, which was acquired by Pasqal in 2022.</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Provided by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from financing activities during the year ended December 31, 2025, was €96.7 million resulting from proceeds from borrowings of €69.4 million, including €63.0 million related to the issuance of the ORA Bonds, proceeds from issuance of Series C shares of €30.8 million, offset by repayments of borrowings and the principal portion of lease liabilities of €2.3 million, and interest payments €1.2 million.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Year Ended December 31,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cash flows from operating activities are significantly affected by the growth of the business, ongoing working capital needs to support growth in personnel-related expenditures, and fluctuations in inventories, trade receivables and related accounts, other receivables, and contract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during the year ended December 31, 2024, was €29.9 million, resulting primarily from a net loss of €48.5 million, offset by €16.5 million in net change of non-cash adjustments and interest paid in the period and change in operating assets and liabilities of €2.0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€16.5 million in non-cash adjustments and interest paid primarily include share-based payment and other personnel expenses of €2.4 million, change in provision, depreciation of property, plant and equipment and amortization of intangible assets and impairments of €11.7 million, financial expense of €1.7 million, and interest paid of €0.7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€2.0 million change in operating assets and liabilities for the year ended December 31, 2024 consisted of €14.2 million increase in contract liabilities, €8.6 million increase in inventories, €1.9 million increase in trade receivables and related accounts, €1.8 million increase in other receivables, €0.9 million increase in other liabilities, offset by €0.7 million decrease in trade payables and related accounts. The increase in contract liabilities was primarily due to an increase in advances received from customers. The increase in inventories was primarily due to the purchase of parts required to manufacture the quantum computers with delivery dates in 2025. The increase in trade receivables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related accounts was primarily due to an increase in unbilled revenue. The increase in other receivables was primarily due to interest receivables from financial accounts. The increase in other liabilities was primarily due to the recognition of €0.8 million of tax payables. The decrease in trade payables and related accounts was primarily due to shorter payment terms from key suppliers.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during the year ended December 31, 2024, was €28.6 million, resulting from the purchase of property, plant and equipment of €19.2 million, purchase of intangible assets of €0.9 million, change in deposits of €8.3 million related to the first-demand guarantee in connection with the contract entered into with Saudi Arabian Oil Company in 2024, and payment of €0.5 million to former shareholders of MyCryoFirm, which was acquired by Pasqal in 2022, offset by the impact of net cash acquired from Aeponyx Enterprises Inc. of €0.3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Provided by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from financing activities during the year ended December 31, 2024, was €4.8 million resulting from proceeds from borrowings of €7.8 million, offset by repayments of borrowings of €1.0 million, payments of the principal portion of lease liabilities of €1.4 million, and interest payments €0.6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 and Judgments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consolidated financial statements are prepared in accordance with IFRS as issued by the IASB. In preparing its consolidated financial statements, Pasqal makes assumptions, judgments and estimates that can have a significant impact on amounts reported in the consolidated financial statements. Pasqal bases its material judgments, estimates and assumptions on historical experience and various other factors, including expectations of future events that are believed to be reasonable under the circumstances. Actual results could differ materially from these estimates under different assumptions or conditions and are recognized prospectively. Pasqal regularly re-evaluates its material judgments, estimates and assumptions. See Note 4 of Pasqal’s audited consolidated financial statements included elsewhere in this prospectus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assumptions that have significant risks of causing material adjustments in Pasqal’s consolidated financial statements relate to: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recognizes revenue in accordance with IFRS 15, </w:t>
      </w:r>
      <w:r>
        <w:rPr>
          <w:rFonts w:ascii="Times New Roman PS Std;serif" w:hAnsi="Times New Roman PS Std;serif"/>
          <w:b w:val="false"/>
          <w:i/>
          <w:caps w:val="false"/>
          <w:smallCaps w:val="false"/>
          <w:sz w:val="20"/>
        </w:rPr>
        <w:t>Revenues from Contracts with Customers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IFRS 15</w:t>
      </w:r>
      <w:r>
        <w:rPr>
          <w:rFonts w:ascii="Times New Roman PS Std;serif" w:hAnsi="Times New Roman PS Std;serif"/>
          <w:b w:val="false"/>
          <w:i w:val="false"/>
          <w:caps w:val="false"/>
          <w:smallCaps w:val="false"/>
          <w:sz w:val="20"/>
        </w:rPr>
        <w:t>”). Pasqal’s revenue recognition requires significant judgement in assessing how customer contracts give rise to enforceable rights and obligations and determining the appropriate accounting treatment under IFRS 15. The most significant judgements in applying IFRS 15 relate to the identification of distinct performance obligations within customer contracts, the assessment of the timing of revenue recognition (at a point in time versus over time), and the determination of standalone selling prices for distinct performance obligations. The estimates involved in revenue recognition may materially impact the timing and allocation of revenue, and changes in assumptions could result in significant variations in reported results. Management reviews Pasqal’s revenue recognition policies for consistency and applies estimation techniques that reflect current market conditions. However, evolving contract structures, pricing models, and customer arrangements may require adjustments in future periods. Accordingly, Pasqal monitors these factors and evaluates the sensitivity of key assumptions to assess their potential effect on financial reporting and ensure transparency regarding potential impacts on financial performance.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derives revenue from three significant types of revenue contracts in 2025: (i) sales of QPUs (ii) sales of QPU-related services and (iii) Cryostat sales. In 2024, Pasqal derived revenue from the sales of QPU-related services and Cryostat sales.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sales of QPUs to customers, Pasqal recognizes revenue when control of the goods or services has been transferred to the customer and Pasqal’s performance obligations to customers have been satisfied. Pasqal measures revenue at an amount that reflects the consideration to which Pasqal expects to be entitled in exchange for transferring goods or services to a customer. Sales of QPUs typically include delivery and commissioning lead time of two years after signing the contract and receipt of payment. Considering the length of time between the customers’ payment and the transfer of the equipment, these contracts contain a significant financing component and the transaction price is discounted at the prevailing interest rate in the market.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sales of QPU-related services to customers, revenue is recognized on a straight-line basis over the service period. Pasqal’s service agreements are generally fixed term and straight-line revenue recognition is an appropriate measure of progress towards satisfaction of the performance obligation.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Cryostat sales, Pasqal recognizes revenue when control of the goods or services has been transferred to the customer and Pasqal’s performance obligations to customers have been satisfied. Pasqal measures revenue at an amount that reflects the consideration to which Pasqal expects to be entitled in exchange for transferring goods or services to a customer.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Measurement of ORA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classifies its ORA Bonds as financial liabilities and measures the ORA Bonds at fair value at each reporting date in the consolidated financial statements. The fair values of these financial liabilities cannot be determined based on quoted prices in active markets and are therefore measured using a valuation model based on discounted expected cash flows, taking into account the different conversion and redemption scenarios over the contractual term. Pasqal calculates the fair value of the ORA Bonds using the following key inputs: recovery rate, expected volatility, credit spread, and an underlying share price derived from the most recent observable transaction, being the latest financing round as of the valuation date. The determination of fair value requires the use of judgement, and changes in the assumptions applied could have a significant impact on the reported fair values of these financial instruments.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Capitalization of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capitalizes certain product development costs when management determines that technological and economic feasibility has been achieved, typically upon reaching defined milestones under its project management model. This process involves significant judgment, including assumptions regarding the technical feasibility of completing the intangible asset such that it will be available for use or sale, Pasqal’s intention and ability to complete the asset and either use or sell it, how the asset will generate future economic benefits, the availability of resources to complete the development, and the ability to reliably measure expenditures incurred during development. Capitalized development costs, net of accumulated amortization totaled €0.3 million and €0.6 million as of December 31, 2025 and 2024, respectively, are presented as other intangible assets on the consolidated statements of financial position, and are subject to impairment testing whenever indicators of impairment arise. Such indicators may include changes in market conditions, technological developments, or lower-than-expected project performance. Adverse changes in these factors or in key assumptions could result in a material impairment charge. Management believes its estimates are reasonable; however, actual results may differ.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Payments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accounts for share-based payments in accordance with IFRS 2, </w:t>
      </w:r>
      <w:r>
        <w:rPr>
          <w:rFonts w:ascii="Times New Roman PS Std;serif" w:hAnsi="Times New Roman PS Std;serif"/>
          <w:b w:val="false"/>
          <w:i/>
          <w:caps w:val="false"/>
          <w:smallCaps w:val="false"/>
          <w:sz w:val="20"/>
        </w:rPr>
        <w:t>Share-based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Payment</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IFRS 2</w:t>
      </w:r>
      <w:r>
        <w:rPr>
          <w:rFonts w:ascii="Times New Roman PS Std;serif" w:hAnsi="Times New Roman PS Std;serif"/>
          <w:b w:val="false"/>
          <w:i w:val="false"/>
          <w:caps w:val="false"/>
          <w:smallCaps w:val="false"/>
          <w:sz w:val="20"/>
        </w:rPr>
        <w:t>”). Share-based compensation expense relates to equity awards issued to its employees and non-employees which consists of Founder Share Subscription Warrants (“</w:t>
      </w:r>
      <w:r>
        <w:rPr>
          <w:rFonts w:ascii="Times New Roman PS Std;serif" w:hAnsi="Times New Roman PS Std;serif"/>
          <w:b/>
          <w:i w:val="false"/>
          <w:caps w:val="false"/>
          <w:smallCaps w:val="false"/>
          <w:sz w:val="20"/>
        </w:rPr>
        <w:t>BSPCEs</w:t>
      </w:r>
      <w:r>
        <w:rPr>
          <w:rFonts w:ascii="Times New Roman PS Std;serif" w:hAnsi="Times New Roman PS Std;serif"/>
          <w:b w:val="false"/>
          <w:i w:val="false"/>
          <w:caps w:val="false"/>
          <w:smallCaps w:val="false"/>
          <w:sz w:val="20"/>
        </w:rPr>
        <w:t>”) and Stock Appreciation Rights (“</w:t>
      </w:r>
      <w:r>
        <w:rPr>
          <w:rFonts w:ascii="Times New Roman PS Std;serif" w:hAnsi="Times New Roman PS Std;serif"/>
          <w:b/>
          <w:i w:val="false"/>
          <w:caps w:val="false"/>
          <w:smallCaps w:val="false"/>
          <w:sz w:val="20"/>
        </w:rPr>
        <w:t>SARs</w:t>
      </w:r>
      <w:r>
        <w:rPr>
          <w:rFonts w:ascii="Times New Roman PS Std;serif" w:hAnsi="Times New Roman PS Std;serif"/>
          <w:b w:val="false"/>
          <w:i w:val="false"/>
          <w:caps w:val="false"/>
          <w:smallCaps w:val="false"/>
          <w:sz w:val="20"/>
        </w:rPr>
        <w:t>”) with service conditions and options with both service and non-market performance vesting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share-based payment awards, which consists of BSPCEs, options, and SARs, is measured on the grant date and is estimated using a Monte Carlo simulation model, which involves significant judgment and reliance on complex assumptions. BSPCEs and options are equity settled awards. SARs are cash settled awards. Pasqal calculates the fair value of the share-based compensation using the following key inputs: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Risk-free interest rate: the risk-free rate applied in the valuation corresponds to the yield on French government bonds, using a maturity consistent with the expected exit horizon.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volatility: the volatility assumption is derived from the observed share-price volatility of publicly listed companies operating in an industry comparable to Pasqal. The selected volatilities are measured over periods aligned with the various exit scenarios considered. Volatility is calculated on a weekly basis and subsequently annualized.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Exit date: a probabilistic distribution of potential exit dates is applied.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SARs, fair value is remeasured at each reporting date until settlement, with changes recognized in profit or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measures and records compensation expense related to share-based awards based on the fair value of those awards as determined on the date of grant. Pasqal recognizes share-based compensation expense for BSPCEs and options over the service period, which generally represents the vesting period during which an employee provides service in exchange for the award. The expense recorded related to BSPCEs and options is adjusted at each reporting date to reflect the best estimate of the total number of equity instruments expected to be vested. Pasqal recognizes share-based compensation expense for SARs over the service period, which generally represents the vesting period during which an employee provides service in exchange for the award. The expense recorded related to SARs is remeasured each reporting period to reflect the current fair value of Pasqal’s shares and the estimated number of SARs that are expected to be vested.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expense for awards to non-employees is recognized in the same manner as if we had paid cash in exchange for the goods or services, which is generally over the vesting period of the award.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also reassesses the number of awards expected to vest based on non-market performance conditions, and any revisions are reflected in the consolidated financial statements. These estimates are subject to significant uncertainty and could materially impact future results. While Pasqal engages external valuation specialists, management retains responsibility for the assumptions used. Assumptions and methodologies are reviewed periodically, and changes may result in material adjustments to compensation expense. Actual outcomes may differ materially from these estimates due to changes in market conditions, volatility, or strategic developments, and such differences could significantly affect reported results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BSPCEs and options are forfeited, any expenses previously recognized are reversed with effect from the date of the forfeiture. When SARs are forfeited, the liability is derecognized, and expenses previously recognized are reversed.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Fair Value of Pasqal’s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privately held company, there has been no public market for Pasqal’s ordinary shares to date. The estimated fair value of Pasqal’s ordinary shares has been determined by its board of directors as of the date of each option grant, with input from management, considering the most recently available third-party valuations of its ordinary shares and its board of directors’ assessment of additional objective and subjective factors that it believed were relevant and which may have changed from the date of the most recent valuation through the date of the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third-party valuations of ordinary shares were estimated by allocating Pasqal’s total equity value to the various classes of shares. Pasqal’s total equity value was projected using a Monte Carlo simulation, incorporating assumptions regarding share price volatility and the expected timing of an exit event. Under each simulated exit scenario, the corresponding equity value is allocated across the various classes of shares in accordance with their respective economic rights. The fair value of Pasqal’s ordinary shares is therefore determined as the average of the simulated values attributable to ordinary shares, discounted at the risk-free interest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considering the results of these third-party valuations, Pasqal’s board of directors considered various objective and subjective factors to determine the fair value of its ordinary shares as of each grant date,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prices at which Pasqal sold its ordinary shares with preferential rights relative to its ordinary shares at the time of each grant;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lack of an active public market, for Pasqal’s ordinary shares and ordinary shares with preferential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external market conditions affecting the quantum computing industry and trends within the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Pasqal’s financial position, including cash and cash equivalents on hand, and its historical and forecasted performance and operating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of achieving a liquidity event, such as an initial public offering or sale of Pasqal in light of prevailing market conditions;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analysis of initial public offerings and the market performance of similar companies in the quantum computing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underlying these valuations represented management’s best estimate, which involved inherent uncertainties and the application of management’s judgment. As a result, if Pasqal had used significantly different assumptions or estimates, the fair value of its ordinary shares and its share-based compensation expense could have been materially different. For the year ended December 31, 2025, if there was a 10% increase in the valuation of the ordinary shares at each of the valuation dates and to the underlying exercise price of share-based awards granted during the year, the impact to the share-based compensation expense would have been an increase of €2.3 million. If there was a 10% decrease in the valuation of the ordinary shares at each of the valuation dates and to the underlying exercise price of share-based awards granted during the year, the impact to the share-based compensation expense would have been an decrease of €2.2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public trading market for Pasqal’s ordinary shares has been established in connection with the completion of the Business Combination, it will no longer be necessary for Pasqal’s board of directors to estimate the fair value of its ordinary shares in connection with its accounting for share-based awards and other such awards Pasqal may grant, as the fair value of its ordinary shares will be determined based on the quoted market price of its ordinary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Share-Based Awards Granted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by grant date the number of shares subject to BSPCEs granted from July 1, 2025 through the date of this prospectus, the per share exercise price of the BSPCEs, the per share fair value of ordinary shares underlying the BSPCEs on each grant date and the per share estimated fair value of the BSPCEs:</w:t>
      </w:r>
    </w:p>
    <w:tbl>
      <w:tblPr>
        <w:tblW w:w="9991" w:type="dxa"/>
        <w:jc w:val="left"/>
        <w:tblInd w:w="0" w:type="dxa"/>
        <w:tblLayout w:type="fixed"/>
        <w:tblCellMar>
          <w:top w:w="0" w:type="dxa"/>
          <w:left w:w="0" w:type="dxa"/>
          <w:bottom w:w="0" w:type="dxa"/>
          <w:right w:w="0" w:type="dxa"/>
        </w:tblCellMar>
      </w:tblPr>
      <w:tblGrid>
        <w:gridCol w:w="1921"/>
        <w:gridCol w:w="146"/>
        <w:gridCol w:w="2041"/>
        <w:gridCol w:w="146"/>
        <w:gridCol w:w="545"/>
        <w:gridCol w:w="1345"/>
        <w:gridCol w:w="146"/>
        <w:gridCol w:w="488"/>
        <w:gridCol w:w="1207"/>
        <w:gridCol w:w="146"/>
        <w:gridCol w:w="512"/>
        <w:gridCol w:w="1348"/>
      </w:tblGrid>
      <w:tr>
        <w:trPr/>
        <w:tc>
          <w:tcPr>
            <w:tcW w:w="19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20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Subject to </w:t>
              <w:br/>
              <w:t>BSPCEs Granted</w:t>
            </w:r>
          </w:p>
        </w:tc>
        <w:tc>
          <w:tcPr>
            <w:tcW w:w="146" w:type="dxa"/>
            <w:tcBorders/>
            <w:vAlign w:val="bottom"/>
          </w:tcPr>
          <w:p>
            <w:pPr>
              <w:pStyle w:val="TableContents"/>
              <w:bidi w:val="0"/>
              <w:spacing w:before="0" w:after="283"/>
              <w:jc w:val="left"/>
              <w:rPr/>
            </w:pPr>
            <w:r>
              <w:rPr/>
              <w:t> </w:t>
            </w:r>
          </w:p>
        </w:tc>
        <w:tc>
          <w:tcPr>
            <w:tcW w:w="18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Exercise Price of </w:t>
              <w:br/>
              <w:t>BSPCEs</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Fair Value of </w:t>
              <w:br/>
              <w:t>Common Stock</w:t>
            </w:r>
          </w:p>
        </w:tc>
        <w:tc>
          <w:tcPr>
            <w:tcW w:w="146" w:type="dxa"/>
            <w:tcBorders/>
            <w:vAlign w:val="bottom"/>
          </w:tcPr>
          <w:p>
            <w:pPr>
              <w:pStyle w:val="TableContents"/>
              <w:bidi w:val="0"/>
              <w:spacing w:before="0" w:after="283"/>
              <w:jc w:val="left"/>
              <w:rPr/>
            </w:pPr>
            <w:r>
              <w:rPr/>
              <w:t> </w:t>
            </w:r>
          </w:p>
        </w:tc>
        <w:tc>
          <w:tcPr>
            <w:tcW w:w="18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Estimated Fair </w:t>
              <w:br/>
              <w:t>Value of BSPCEs</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425,380</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73.17</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58.69</w:t>
            </w:r>
          </w:p>
        </w:tc>
        <w:tc>
          <w:tcPr>
            <w:tcW w:w="146"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35.87</w:t>
            </w:r>
          </w:p>
        </w:tc>
      </w:tr>
      <w:tr>
        <w:trPr/>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5, 2025</w:t>
            </w:r>
          </w:p>
        </w:tc>
        <w:tc>
          <w:tcPr>
            <w:tcW w:w="146" w:type="dxa"/>
            <w:tcBorders/>
            <w:vAlign w:val="bottom"/>
          </w:tcPr>
          <w:p>
            <w:pPr>
              <w:pStyle w:val="TableContents"/>
              <w:bidi w:val="0"/>
              <w:spacing w:before="0" w:after="283"/>
              <w:jc w:val="left"/>
              <w:rPr/>
            </w:pPr>
            <w:r>
              <w:rPr/>
              <w:t> </w:t>
            </w:r>
          </w:p>
        </w:tc>
        <w:tc>
          <w:tcPr>
            <w:tcW w:w="20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68,700</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58.57</w:t>
            </w:r>
          </w:p>
        </w:tc>
        <w:tc>
          <w:tcPr>
            <w:tcW w:w="146" w:type="dxa"/>
            <w:tcBorders/>
            <w:vAlign w:val="bottom"/>
          </w:tcPr>
          <w:p>
            <w:pPr>
              <w:pStyle w:val="TableContents"/>
              <w:bidi w:val="0"/>
              <w:spacing w:before="0" w:after="283"/>
              <w:jc w:val="left"/>
              <w:rPr/>
            </w:pPr>
            <w:r>
              <w:rPr/>
              <w:t> </w:t>
            </w:r>
          </w:p>
        </w:tc>
        <w:tc>
          <w:tcPr>
            <w:tcW w:w="512"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37.27</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12, 2026</w:t>
            </w:r>
          </w:p>
        </w:tc>
        <w:tc>
          <w:tcPr>
            <w:tcW w:w="146"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72,492</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73.17</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99.94</w:t>
            </w:r>
          </w:p>
        </w:tc>
        <w:tc>
          <w:tcPr>
            <w:tcW w:w="146"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79.31</w:t>
            </w:r>
          </w:p>
        </w:tc>
      </w:tr>
      <w:tr>
        <w:trPr/>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tc>
        <w:tc>
          <w:tcPr>
            <w:tcW w:w="146" w:type="dxa"/>
            <w:tcBorders/>
            <w:vAlign w:val="bottom"/>
          </w:tcPr>
          <w:p>
            <w:pPr>
              <w:pStyle w:val="TableContents"/>
              <w:bidi w:val="0"/>
              <w:spacing w:before="0" w:after="283"/>
              <w:jc w:val="left"/>
              <w:rPr/>
            </w:pPr>
            <w:r>
              <w:rPr/>
              <w:t> </w:t>
            </w:r>
          </w:p>
        </w:tc>
        <w:tc>
          <w:tcPr>
            <w:tcW w:w="20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500,388</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96.16</w:t>
            </w:r>
          </w:p>
        </w:tc>
        <w:tc>
          <w:tcPr>
            <w:tcW w:w="146" w:type="dxa"/>
            <w:tcBorders/>
            <w:vAlign w:val="bottom"/>
          </w:tcPr>
          <w:p>
            <w:pPr>
              <w:pStyle w:val="TableContents"/>
              <w:bidi w:val="0"/>
              <w:spacing w:before="0" w:after="283"/>
              <w:jc w:val="left"/>
              <w:rPr/>
            </w:pPr>
            <w:r>
              <w:rPr/>
              <w:t> </w:t>
            </w:r>
          </w:p>
        </w:tc>
        <w:tc>
          <w:tcPr>
            <w:tcW w:w="512"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78.98</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440,941</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96.16</w:t>
            </w:r>
          </w:p>
        </w:tc>
        <w:tc>
          <w:tcPr>
            <w:tcW w:w="146"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Prior to the closing of the Business Combination, and in accordance with the Pasqal Board’s decision and the Pasqal Holding Board’s decision, these BSPCE holders will waive 425,380 Pasqal SAS BSPCEs, which will be replaced with 425,380 Pasqal Holding SAS BSPCEs, representing the right to acquire ordinary shares of Pasqal Holding SAS.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As part of the reorganization of Pasqal’s equity incentive plans, 409,261 of the 440,941 BSPCEs granted were reissued at the Pasqal Holding SAS level to replace BSPCEs previously granted at the Pasqal SAS level.</w:t>
      </w:r>
    </w:p>
    <w:p>
      <w:pPr>
        <w:pStyle w:val="TextBody"/>
        <w:keepNext w:val="false"/>
        <w:pageBreakBefore w:val="false"/>
        <w:widowControl/>
        <w:pBdr/>
        <w:bidi w:val="0"/>
        <w:spacing w:before="16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There were no other share-based awards granted from July 31, 2026 through the date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Emerging Growth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an “emerging growth company,” as defined in Section 2(a) of the Securities Act of 1933, as amended, as modified by the JOBS Act. As such, Pasqal is eligible to take advantage of certain exemptions from various reporting requirements that are otherwise applicable to other public companies. These provisions include: (i) being permitted to provide only two years of audited financial statements in addition to any required unaudited interim financial statements and a correspondingly reduced “Management’s Discussion and Analysis of Financial Condition and Results of Operations” disclosure; (ii) not being required to comply with the auditor attestation requirements in the assessment of the internal control over financial reporting pursuant to Section 404 of the Sarbanes-Oxley Act; (iii) reduced disclosure obligations regarding executive compensation; (iv) exemptions from the requirements of holding a nonbinding advisory vote on executive compensation and shareholder approval of any golden parachute payments not previously approved; and (v) exemptions from compliance with the requirements of the Public Company Accounting Oversight Board regarding the communication of critical audit matters in the auditor’s report on the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Pasqal has elected not to opt out of such extended transition period which means that when a standard is issued or revised and it has different application dates for public or private companies, Pasqal, as an emerging growth company, will adopt the new or revised standard at the time private companies adopt the new or revised standard. This may make comparison of Pasqal’s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will remain an emerging growth company under the JOBS Act until the earliest of (a) the last day of the fiscal year following the fifth anniversary of the first sale of our common equity securities pursuant to an effective registration statement, (b) the last date of the fiscal year in which Pasqal’s total annual gross revenue is equal to or more than $1.235 billion, (c) the date on which Pasqal is deemed to be a “large accelerated filer” under the rules of the SEC with at least $700.0 million of outstanding securities held by non-affiliates or (d) the date on which Pasqal has issued more than $1.0 billion in non-convertible debt securities during the previous three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using foreign private issuer forms for Exchange Act reporting requirements (Forms 20-F and 6-K), New Pasqal will not be permitted to take advantage of the scaled reporting requirements available for smaller reporting companies.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exposed to market risk in the ordinary course of its business. Market risk represents the risk of loss that may impact Pasqal’s financial position due to adverse changes in financial market prices and rates.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Rate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rate risk is the risk of financial loss due to adverse changes in the value of assets and liabilities as a result of movements in interest rates. As of June 30, 2026, Pasqal’s debt portfolio is comprised entirely of fixed-rate debt. Other than certain interest-bearing assets and instruments classified at amortized cost, Pasqal has no other significant interest-bearing instruments. Pasqal considers its exposure to interest rate risk to be low and does not expect significant impacts from potential interest rate fluctuations.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Exchange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risk arises when future commercial transactions or recognized assets and liabilities are denominated in a currency other than the respective group companies’ functional currency. Pasqal has limited exposure to foreign exchange fluctuations. As of June 30, 2026 and December 31, 2025 and 2024, substantially all of Pasqal’s revenue was denominated in Euros. In addition, financial liabilities and lease liabilities are primarily denominated in the functional currencies of the respective entities, which further limits its foreign exchange risk exposure. Based on Pasqal’s foreign currency denominated cash balances as of June 30, 2026 and December 31, 2025 and 2024, a hypothetical 10% change in the relative value of Euros to other currencies during the six months ended June 30, 2026, or the years ended December 31, 2025 and 2024, would not have had a material effect on Pasqal’s condensed half-year consolidated financial statements or its audited consolidated financial statements for the years ended December 31, 2025 and 2024,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111"/>
      <w:bookmarkEnd w:id="10"/>
      <w:r>
        <w:rPr>
          <w:rFonts w:ascii="Times New Roman PS Std;serif" w:hAnsi="Times New Roman PS Std;serif"/>
          <w:b/>
          <w:i w:val="false"/>
          <w:caps w:val="false"/>
          <w:smallCaps w:val="false"/>
          <w:sz w:val="20"/>
        </w:rPr>
        <w:t xml:space="preserve">OUR BUSINESS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builds and delivers industry-ready neutral-atom QPUs, which we believe are designed to transform cutting-edge scientific breakthroughs into real-world business solutions across multiple industries.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Summary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pioneer in neutral-atom quantum computing, Pasqal seeks to play a leading role in advancing the field of quantum computing and believes it has established itself as a major global player in the space.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Pasqal is a French Company founded in 2019, out of the </w:t>
      </w:r>
      <w:r>
        <w:rPr>
          <w:rFonts w:ascii="Times New Roman PS Std;serif" w:hAnsi="Times New Roman PS Std;serif"/>
          <w:b w:val="false"/>
          <w:i/>
          <w:caps w:val="false"/>
          <w:smallCaps w:val="false"/>
          <w:sz w:val="20"/>
        </w:rPr>
        <w:t>Institut d’Optique</w:t>
      </w:r>
      <w:r>
        <w:rPr>
          <w:rFonts w:ascii="Times New Roman PS Std;serif" w:hAnsi="Times New Roman PS Std;serif"/>
          <w:b w:val="false"/>
          <w:i w:val="false"/>
          <w:caps w:val="false"/>
          <w:smallCaps w:val="false"/>
          <w:sz w:val="20"/>
        </w:rPr>
        <w:t>, by Dr. Georges-Olivier Reymond, Dr. Christophe Jurczak, Professor Alain Aspect, (Nobel Prize Laureate Physics, 2022), Professor Antoine Browaeys and Dr. Thierry Lahaye. The founding team are the co-inventors of neutral-atom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following the consummation of the Business Combination, Pasqal has approximately $360 million of cash available, employs approximately 300 people worldwide including more than 70 PhDs, holds approximately 92 issued and pending patents, and has offices in France, the United States, Canada, Saudi Arabia, South Korea, and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key strengths include: (i) being at the forefront of neutral-atom technology, which is believed to be one of the most flexible and scalable technologies among quantum platforms; (ii) controlling every critical aspect of system development to drive operational and financial outcomes; and (iii) having a proven track record of bringing advanced quantum products to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at the forefront of developing scalable QPUs that deliver highly scalable computational capabilities, operate in standard data centers, and provide consistent performance enabled by precise qubit control and improved coherence times in both analog and digital modes. Pasqal’s neutral-atom technology enables complex computational challenges to be solved for numerous applications in key sectors such as energy and utilities, finance, high value materials and manufacturing, healthcare and pharmaceuticals, logistics, aerospace and defense and artificial intelligence (“</w:t>
      </w:r>
      <w:r>
        <w:rPr>
          <w:rFonts w:ascii="Times New Roman PS Std;serif" w:hAnsi="Times New Roman PS Std;serif"/>
          <w:b/>
          <w:i w:val="false"/>
          <w:caps w:val="false"/>
          <w:smallCaps w:val="false"/>
          <w:sz w:val="20"/>
        </w:rPr>
        <w:t>AI</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commitment to innovation is reflected in its ongoing research collaborations with leading industrial and academic partners, as well as its ability to make its quantum computing capabilities accessible through leading cloud-based services. These initiatives are helping to drive the practical adoption of quantum technology and expanding its real-world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solve the scalability challenges inherent in other quantum computing initiatives, Pasqal employs a modular approach to its neutral-atom processors, enabling the expansion of qubit arrays without compromising performance or fidelity. The Company’s technology supports the arrangement of large numbers of neutral atoms (over 1,000 trapped atoms already demonstrated) in both two- and three-dimensional configurations, paving the way for systems with tens of thousands of physical qubits and hundreds of logical qubits by the end of this decade (over 200 logical qubits anticipated by 2029). By continuously improving qubit coherence, accuracy of operations through gate fidelity, and error correction strategies, Pasqal seeks to ensure that its quantum systems remain reliable and accurate as they scale, overcoming key barriers to widespread quantum adoption.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has demonstrated the scaling of its commercial capability with seven QPUs installed and three in production. Pasqal has two operational QPU manufacturing facilities in France and Canada that are expected to ramp up to a capacity of 13 QPUs per year, subject to full staffing, preparation and parts availability. We believe this allows us to match our customers’ timelines and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has worked with over 40 customers and strategic partners globally, including IBM (Pasqal is part of the IBM quantum network), NVIDIA, Google, Microsoft, and leading high-performance computing (“</w:t>
      </w:r>
      <w:r>
        <w:rPr>
          <w:rFonts w:ascii="Times New Roman PS Std;serif" w:hAnsi="Times New Roman PS Std;serif"/>
          <w:b/>
          <w:i w:val="false"/>
          <w:caps w:val="false"/>
          <w:smallCaps w:val="false"/>
          <w:sz w:val="20"/>
        </w:rPr>
        <w:t>HPC</w:t>
      </w:r>
      <w:r>
        <w:rPr>
          <w:rFonts w:ascii="Times New Roman PS Std;serif" w:hAnsi="Times New Roman PS Std;serif"/>
          <w:b w:val="false"/>
          <w:i w:val="false"/>
          <w:caps w:val="false"/>
          <w:smallCaps w:val="false"/>
          <w:sz w:val="20"/>
        </w:rPr>
        <w:t>”) centers such as GENCI/CEA, CINECA and Forschungszentrum Jülich. The Company’s revenue to date is derived from direct sales of its QPUs and from cloud-based access to its QPUs, serving a growing base of enterprise and research customers. This has resulted in the development of over 25 commercial use cases across different industry verticals and approximately $79.1 million (€70.4 million) in booked and awarded business, including grants, as of June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early 2026, Pasqal achieved a key technological milestone, successfully demonstrating an initial capability to construct and operate the key building blocks of a logical qubit, reflecting progress toward more fault-tolerant quantum computing architectures. In addition, in May 2026, Pasqal was selected as a finalist in the XPRIZE Quantum Applications competition, a three-year, $5 million global competition supported by Google Quantum AI, Google.org, and the Geneva Science and Diplomacy Anticipator (GESDA), which is designed to identify teams whose quantum computing solutions are grounded in clear, real-world use cases and ready for rigorous benchmarking against classical methods. Also in May 2026, Pasqal completed an experimental demonstration, run on its neutral-atom quantum processor, in which it applied a quantum kernel (a quantum machine-learning method) to solve differential equations and compared the end-to-end performance of the algorithm at the logical and physical levels, achieving a lower computational error with the logical-qubit implementation, which Pasqal believes represents, to its knowledge, the first experimental application of a quantum kernel to the task of solving differential equations.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Leadership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led by an experienced management team, including its Chief Executive Officer, Dr. Wasiq Bokhari, and its Chief Technology Officer, Dr. Loïc Henriet. Dr. Wasiq Bokhari brings to Pasqal more than 20 years of experience in deploying and scaling disruptive technologies as an entrepreneur, venture capitalist, and former business and technology leader at Google and Amazon. He has deep operating experience at scale, having built and grown multiple businesses in the deep tech sector. He has a unique combination of deep scientific and technology background combined with his business operating experience. He holds undergraduate degrees and a PhD in physics from the Massachusetts Institute of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one of the earliest employees, Dr. Henriet oversees the Company’s hardware and software technological roadmap and its overall technical operations. His background pairs rigorous training in physics with deep knowledge in engineering, computer science and adjacent disciplines. This breadth allows him to integrate scientific, technical, and operational dimensions to maximize impact and value creation for Pasqal. He earned his engineering degree and PhD from École Polytechnique.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members of Pasqal’s founding team remain actively involved in the Company’s operations and strategic direction. The continued presence of the co-founders, including world leading scientists such as Professor Alain Aspect, Nobel laureate in Physics 2022 (Chairman of Pasqal Scientific Advisory Board), Professor Antoine Browaeys (Chief Scientist), member of the French Académie des Sciences and 2025 John Stewart Bell Prize, and Dr. Georges-Olivier Reymond (Pasqal’s co-founder and former Chief Executive Officer), presents a unique combination of deep technical knowledge and a long-term commitment to innovation. This deeply committed and visionary leadership is a key asset, supporting Pasqal’s mission to deliver practical quantum computing solutions and drive the next wave of technological advancement.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Pasqal founding team is responsible for creating the neutral-atom technology, which is believed to be one of the most scalable technologies in quantum computing. In 1982, Professor Alain Aspect experimentally demonstrated entanglement in his Nobel-winning experiment; in 2001, Dr Georges-Olivier Reymond performed the first experimental demonstration of a trapped neutral atom; and between 2009 and 2018, Professor Antoine Browaeys demonstrated the Rydberg blockade and worked on quantum simulations.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Quantum Computing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Computing History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quantum computing represents a revolutionary change beyond classical approaches, enabling solutions to problems that are intractable for traditional Central Processing Unit (“CPU”) or emerging Graphics Processing Unit (“GPU”)-based systems. Unlike classical computers, which process information in binary bits, quantum computers use qubits that can exist in multiple states simultaneously and be correlated with one another through phenomena such as superposition and entanglement. Over the past century, foundational breakthroughs — including Planck’s discovery of energy quanta, Bohr’s atomic model, and the development of quantum mechanics — have paved the way for today’s quantum technologies. Experimental advances, such as the demonstration of nuclear magnetic resonance and the confirmation of quantum entanglement, have provided the tools and scientific validation necessary for building practical quantum devices.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idea of harnessing quantum mechanics for computation gained momentum in the 1980s, when physicists like Richard Feynman and David Deutsch proposed that quantum computers could efficiently solve problems that are impossible for classical machines, such as simulating complex molecules or factoring large numbers. In 1983, Professor Dr. Alain Aspect and his team performed experiments that confirmed violations of Bell’s inequalities, providing definitive evidence that quantum entanglement is a real and fundamental feature of nature. The confirmation of entanglement by Professor Dr. Aspect was a turning point for quantum science. These theoretical insights were soon followed by experimental milestones, including the realization of the first quantum logic gates and the ability to trap and control individual atoms with lasers. Such advances laid the groundwork for new quantum computing platforms, including those based on neutral atoms.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technology is rooted in these scientific achievements. In the early 2000s, researchers, including Dr. Georges-Olivier Reymond, demonstrated the trapping of single neutral atoms using optical tweezers.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the entanglement of individual atoms using the Rydberg blockade effect was achieved. These breakthroughs proved that neutral atoms could be precisely manipulated and entangled, meeting the stringent requirements for quantum information processing. By 2016 and 2018, further progress enabled high-fidelity quantum operations and the control of large, programmable arrays of neutral atoms, establishing this approach as a leading contender for scalable quantum computing.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 on this foundation, Pasqal was founded in 2019 to commercialize neutral-atom quantum computing. The Company brings together world-class expertise in quantum physics and engineering to transform laboratory innovations into practical quantum systems. Pasqal’s technology leverages the unique advantages of neutral atoms, such as scalability, precision, and stability, to deliver powerful quantum computers capable of addressing real-world challenges in fields ranging from logistics and energy to healthcare and pharmaceuticals, finance, materials and manufacturing, aerospace and defense and AI.</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Computing as the Third Pillar of the Future of Compute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view, quantum computing will not replace existing CPU or GPU based computation, but will be a complementary and co-equal third pillar of computation. We expect quantum computing to be primarily used to solve problems that are difficult or impossible for CPU or GPU based computation to solve. In the near term we expect these problems to fall into three categories for Pasqal: materials simulation, quantum machine learning and optimization.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illustration of the difference between CPU or GPU based computation and quantum computing, we can look at a specific example of simulation and modeling of materials, chemicals and pharmaceuticals.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using CPU or GPU based computation, such simulation and modeling are performed inefficiently through approximations resulting in long times and high expense for discovery and design.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due to the following two reasons: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 number of possible chemical compounds, excluding polymers, is very large. There are approximately 1063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10 followed by 63 zeros) possible chemical compounds. For proteins, the challenge is greater. The number of possible proteins composed of 400 amino acids is 10520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10 followed by 520 zeros). For comparison, it is estimated that the number of atoms in the whole visible universe are about 1080. These number of possible solutions cannot be represented in any existing or foreseeable CPU based computation system’s memory. Beyond that, for any form of CPU or GPU based computation, it is physically impossible to go through all of these possibilities as it would take time that is many times longer than the age of the universe. This challenge of sifting through many possibilities is also encountered in optimization problems where the goal is to find the right answer among billions of alternatives.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beyond the issue of being able to find the right molecule or protein amongst so many possibilities, the atomic and molecular level behavior is governed by the laws of quantum mechanics, including important correlations, that traditional or AI based systems cannot adequately approximate. This results in incomplete and inaccurate simulation of materials. As a result, identifying truly optimal materials or molecules for a given use is often out of reach. Instead, researchers experience costly trial and error in order to find materials or molecules that may be better than the existing ones. This helps explain why many molecules used in drugs or catalysts have remained largely unchanged for decades, often carry side effects, and are difficult to personalize or customize for specific individuals or use cases. These constraints drive significant inefficiencies and limit progress on persistent challenges, including those spanning personal health, energy, advanced materials, and chemical and biological processes.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Quantum computers operate differently. They replicate the actual quantum mechanical environment of the molecules or materials they are trying to simulate, including all the relevant system dynamics and correlations. Furthermore, a quantum computer scales in a fundamentally different — and often exponentially more powerful way than classical systems. A 100 qubit quantum computer can, in principle, represent 2100 or 1029 states. By roughly doubling the qubit count to 215 qubits, a quantum computer can represent 2215 or 1064 states, enough to represent all possible non polymer chemical compounds. A 2000 qubit quantum computer can encompass all possible proteins composed of 400 amino acids. In addition, computation in a quantum computer is inherently “parallel” where the quantum computer can explore all possibilities simultaneously, with quantum algorithms used to extract the right answer efficiently. Traditional computers or AI systems cannot traverse such vast spaces even over billions of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inherent advantages of accurate quantum-mechanical modeling, efficient search across unimaginably large solution spaces, and exponential scaling that matches problem complexity make quantum computers unique and powerful.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why we focus on solving material simulations and optimization problems. Pasqal’s neutral-atom technology offers the ability to solve these complex problems that are beyond the reach of classical or AI based computers alone. Pasqal currently offers commercial systems in 200 or more qubit count range, has demonstrated systems with more than 1,000 trapped atoms and can scale to tens of thousands of qubits per QPU. Our quantum computing approach is poised to transform a wide range of industries, including financial services, energy and utilities, materials and manufacturing, logistics, pharmaceuticals and healthcare, logistics, aerospace and defense and AI.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quantum computers work alongside traditional computers or AI based systems to solve problems efficiently and at scale. Tasks that are very difficult or impossible for classical or AI systems are offloaded to our quantum computers, and the results are then integrated to produce the final answer. This hybrid approach leverages the best strengths of each form of computation.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fields like pharmaceuticals and material science, neutral-atom quantum computers have the potential to revolutionize research and development. By simulating molecular and atomic interactions at the quantum level, these systems allow scientists to model molecules with greater accuracy, accelerating the discovery of new drugs and the design of advanced materials. Similarly, the energy sector can use quantum simulations to develop better materials for batteries and renewable energy technologies, supporting the transition to a more sustainable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Tasks such as optimizing global supply chains in logistics or minimizing risk in large investment portfolios in financial services involve countless variables and possible outcomes, making them extremely challenging for traditional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Similarly, in AI and machine learning, the scalable architecture of neutral-atom quantum computers can significantly enhance the processing of datasets and the optimization of complex models, paving the way for breakthroughs in personalized medicine, autonomous systems, and more.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Quantum computing also brings both challenges and solutions to cybersecurity. While quantum computers could potentially break many classical encryption systems, they also enable new forms of quantum cryptography that promise more secure communication channels, resistant to both classical and quantum attack. This dual impact is particularly relevant for sectors such as telecommunications, defense, and advanced electronics, where data security and network optimization are critical.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Computing Market Opportunity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Overall, we believe the market opportunities linked to quantum computing are vast and rapidly expanding. In the near term, as the technology matures, it is expected to drive innovation, efficiency, and competitive advantage across multiple industries. Quantum computing presents a projected $700-800 billion market opportunity from 2035 to 2040, at par with what is expected from generative AI. The directly impacted use cases are predicted to be wide-ranging, from financial services to logistics, including advanced materials and life sciences, driven by algorithmic pillars such as optimization and machine learning that Pasqal is developing. This estimate does not include the impact of new use cases or products uniquely enabled by quantum computation that we cannot foresee at this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Quantum computing is expected to realize its full potential in three phases: Phase I — Quantum Utility Era (2024 to 2026); Phase II — Quantum Advantage Era (2027 to 2030); and Phase III — Fault Tolerant (2031 to 2035 and beyond). Each phase targets key industries such as finance, life sciences, energy, pharmaceuticals and cybersecurity, broadening the scope of impact. Pasqal is already commercializing Phase I and expects to deliver and monetize Phases II and III.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computation is at the center of every activity in our civilization, quantum computing is a fundamentally impactful capability that we expect will reshape our daily lives.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pioneering a cutting-edge approach to quantum computing based on neutral-atom technology, which we believe stands out as one of the most promising quantum architectures today. A key strength of this approach is its universal hardware platform, which supports both analog and digital quantum computing, delivering practical utility today while providing a clear long-term path toward fault-tolerant quantum computation. Neutral-atom technology works at room temperature and consumes relatively low energy. To appreciate the significance of Pasqal’s work, it is helpful to first understand the fundamentals of quantum computing.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highlighted above, unlike classical computers, which process information using binary bits that represent either a 0 or a 1, quantum computers use quantum bits, or qubits, which can exist in multiple states at once due to the phenomenon of superposition. This property enables quantum computers to represent and manipulate superpositions of computational states, thereby allowing them to explore large solution spaces in parallel. In addition, quantum computers can exploit entanglement, a uniquely quantum correlation in which the joint state of multiple qubits cannot be described independently, even when the qubits are spatially separated. Further, entanglement provides access to non-classical correlations that can be leveraged for computational performance. For certain problem classes, such as combinatorial optimization (e.g., supply chain optimization) or quantum simulation (e.g., modeling molecular systems relevant to drug discovery), it can result in substantial advantages over classical approaches.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technology leverages neutral atoms (atoms that carry no electrical charge) as qubits. These neutral atoms are laser-cooled and trapped in precise arrays of laser-generated optical tweezers. This technique allows scientists and engineers to arrange and control individual atoms with remarkable precision. Once the atoms are in place, additional lasers are used to manipulate their quantum states, enabling the creation of superposition and entanglement among the qubits. By using hundreds of such trapped qubits, Pasqal’s quantum computers are designed to execute highly complex calculations that are challenging for classical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same neutral-atom hardware supports two complementary computational modes. In the near term, Pasqal leads with high-performance analog quantum computing, harnessing naturally occurring interactions between atoms to solve optimization, quantum machine learning and material simulation problems efficiently. On the same physical platform, the system can also operate in a digital, gate-based mode, enabling universal quantum logic and providing a direct pathway toward quantum error correction and, ultimately, fault-tolerant computation. This dual capability and flexibility is a distinctive feature of Pasqal’s approach and underpins its performance today and its long-term scalability.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Traditionally, building quantum computers faced major engineering obstacles. Early quantum platforms often needed ultra-low temperatures, had limited coherence times, and were difficult to scale, which limited their practical use. One of the major advantages of neutral-atom quantum computing is its scalability. Many quantum computing platforms face significant manufacturing challenges due to the sensitivity and instability of their qubits. Unlike other quantum computing platforms, Pasqal does not need to manufacture qubits, as the Company uses neutral atoms as qubits, allowing Pasqal to leverage the uniformity provided by nature itself. This makes it possible to envision quantum computers with millions of high-quality qubits with long coherence times. Additionally, the neutral-atom quantum technology operates at room temperature, without the need for cryogenic refrigeration of qubits, leading to cost-effective and robust infrastructure.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mode of operation of a neutral-atom quantum computer can be broken down into several key steps. First, neutral atoms are cooled and trapped in an array using optical tweezers. Next, lasers are used to manipulate the quantum states of the atoms, performing the necessary quantum operations for a given computation. In digital mode, this corresponds to implementing sequences of quantum gates; in analog mode, the system is programmed by setting up the configuration of atoms in a way that represents the problem</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xml:space="preserve"> During this process, quantum entanglement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superposition allow the computer to implement quantum algorithms intended to outperform certain classical approaches. Finally, once the computation is complete, lasers are again used to measure the states of the qubits through fluorescence and read out the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neutral-atom platforms are particularly well positioned for the transition from today’s early computers to large-scale, quantum-error-corrected systems. Optical tweezer arrays provide a path to scaling to thousands and ultimately millions of qubits with flexible, reconfigurable geometries, directly addressing the substantial physical qubit overhead required for fault-tolerant architectures. Because both analog and digital approaches are implemented on the same hardware, advances in control, coherence, and system engineering directly benefit the roadmap toward logical, error-corrected qubits. At the same time, long coherence times, improving gate fidelities and gate speeds based on Rydberg-mediated interactions, and dynamic connectivity enable efficient implementation of error-correcting codes and repeated syndrome extraction. In addition, photonic interconnects between atom arrays offer a pathway to modular architectures, allowing multiple processors to be networked into larger systems without sacrificing qubit quality. These combined attributes support a roadmap from near-term analog quantum advantage to robust, universal, fault-tolerant quantum computing. Since the 2000s and the emergence of quantum computing platforms, neutral atoms have caught up with competing technologies such as trapped ions and superconducting qubits on key metrics like fidelity and outperforming technological platforms on qubit 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this approach, Pasqal seeks to enable the development of powerful, scalable quantum computers that have the potential to revolutionize industries ranging from logistics and energy to pharmaceuticals and beyond. By combining cutting-edge analog performance today with a credible path to digital, error-corrected quantum computing on the same hardware platform, we believe Pasqal is addressing some of the most significant challenges in quantum computing and positioning itself at the forefront of the next technological revolution.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intellectual property portfolio plays a strategic role in advancing our innovation and leadership in quantum computing. The Company’s patent portfolio seeks to protect our current developments and the intellectual property space for the Company’s technology roadmap and anticipated areas of development. Pasqal relies upon a combination of protections afforded to owners of patents, copyrights, trade secrets, and trademarks, along with confidentiality and proprietary rights agreements with employees, consultants, contractors, vendors and business partners to establish and protect its intellectual property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Pasqal has approximately 92 issued and pending patent families across multiple jurisdictions that protect its full-stack technology across hardware, software, and services.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hardware-related IP portfolio comprises approximately 57 patent families covering qubit and register-related technologies, QPU operations (fidelity and flexibility), industrialization, and quantum error correction. The Company’s applications and software IP portfolio comprises approximately 35 patent families covering optimization, quantum simulation and materials, quantum machine learning, and quantum software infrastructure.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our issued patents will expire between 2039 and 2046, and the oldest patents for Aeponyx Technologies will expire in 2032.</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regularly reviews its development efforts to assess the existence and patentability of new inventions, and expects to file additional patent applications when it would benefit our business to do so.</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pursues international registration of its domain names and trademarks. It is the registered holder of a variety of domain name registrations, including “Pasqal.com”. As of the date of this prospectus, Pasqal’s trademark portfolio consists of (i) 8 U.S. trademark registrations (including 6 logos), (ii) 10 foreign trademark registrations (including 8 logos), and (iii) 10 recently filed foreign trademark applications (including 3 logos).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Technology Strategy and Competitive Strengths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approach to developing and fostering real world application of quantum computing is structured around the following three core pillars: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Rapid deployment of quantum computers:    </w:t>
      </w:r>
      <w:r>
        <w:rPr>
          <w:rFonts w:ascii="Times New Roman PS Std;serif" w:hAnsi="Times New Roman PS Std;serif"/>
          <w:b w:val="false"/>
          <w:i w:val="false"/>
          <w:caps w:val="false"/>
          <w:smallCaps w:val="false"/>
          <w:sz w:val="20"/>
        </w:rPr>
        <w:t xml:space="preserve">Pasqal is committed to making quantum computing accessible and impactful today by deploying its neutral-atom QPUs at scale. Over the past year, the Company has deployed QPUs at leading HPC centers in France, Germany and Saudi Arabia, and delivered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additional QPU to Italy, with commissioning planned for 2026. These installations mark a significant step toward integrating quantum processors into real-world computing infrastructures and enabling hybrid quantum-classical workflows. Pasqal is also collaborating with industry leaders, including NVIDIA and IBM, to standardize QPU integration in HPC environments, ensuring seamless orchestration and broader adoption of quantum computing.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Demonstration of quantum advantage (QA) on industry-relevant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problems:    </w:t>
      </w:r>
      <w:r>
        <w:rPr>
          <w:rFonts w:ascii="Times New Roman PS Std;serif" w:hAnsi="Times New Roman PS Std;serif"/>
          <w:b w:val="false"/>
          <w:i w:val="false"/>
          <w:caps w:val="false"/>
          <w:smallCaps w:val="false"/>
          <w:sz w:val="20"/>
        </w:rPr>
        <w:t>A central pillar of Pasqal’s strategy is to achieve and demonstrate quantum advantage where quantum computers outperform classical systems on practical, industry-relevant tasks. While competitors focus on universal gate-based computing (which tries to force all quantum physics into logical gates), our analog architecture natively mimics the physical laws of nature while preserving our ability to deliver state of the art logical gate-based computing. Native analog architecture eliminates the computational overhead of gate-based systems, delivering hardware-native solutions today. The Company has developed a 324 qubits QPU specifically optimized for this purpose, with first demonstrations achieved in the field of material sciences. Quantum materials discovery is a promising field that opens new avenues for breakthroughs with potential impacts on a number of industries. Pasqal’s efforts span key algorithmic domains, including optimization, quantum simulation, and machine learning, with applications in logistics, energy, finance, materials science, and pharmaceuticals.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An accelerated path toward digital fault-tolerant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quantum computing (“FTQC”):    </w:t>
      </w:r>
      <w:r>
        <w:rPr>
          <w:rFonts w:ascii="Times New Roman PS Std;serif" w:hAnsi="Times New Roman PS Std;serif"/>
          <w:b w:val="false"/>
          <w:i w:val="false"/>
          <w:caps w:val="false"/>
          <w:smallCaps w:val="false"/>
          <w:sz w:val="20"/>
        </w:rPr>
        <w:t>Looking ahead, Pasqal’s technology roadmap is focused on scaling toward digital fault-tolerant quantum computing, being quantum computing capable of automatically correcting errors that occur during quantum calculations. The Company has reached 1,000 physical trapped atoms and aims to reach 10,000 physical qubits by 2028, while simultaneously improving reliability through the development of logical qubits. Pasqal is also investing in photonic integrated circuits (PICs) to enhance qubit control fidelity and hardware scalability, following its acquisition of Aeponyx Technologies, a leading photonic integrated circuit company based in Canada. PICs are a strategic component for both Pasqal’s research and development and production hardware activities. PICs enable new capabilities, such as high-speed modulators, low-noise laser sources, low-noise amplifiers, and advanced filters, that are compatible with scaling quantum technology to tens of thousands of qubits. In addition, PICs present a unique opportunity to simplify the engineering of complex optical systems, supporting industrialization through greater compactness and large-scale production. To enable rapid and smooth innovation, Pasqal has built a modular, upgradable hardware architecture for future-proof excellence. This commitment to innovation is intended to keep Pasqal’s modular hardware platform competitive and capable of supporting the transition from today’s analog quantum computing to tomorrow’s fully digital, error-corrected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Pasqal’s approach stands out due to several key competitive strengths: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at the forefront of neutral-atom quantum technology, which we believe offers unmatched flexibility and scalability among quantum platforms. This foundation supports scalable quantum computing and opens the door to advanced applications.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handle every critical aspect of our system’s development. By integrating all critical components in-house, we can innovate faster, enhance system reliability, and improve both manufacturing efficiency and financial outcomes.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a proven track record of bringing advanced quantum products to market, as we have already delivered functioning QPUs to external HPC centers in France, Germany, Saudi Arabia and Italy. Our focus is on commercializing neutral-atom platforms with a clear roadmap for scaling.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believe we have one of the largest bases of high — qubit-count QPUs deployed, operational, or in active production among pure-play industry peers worldwide.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Products &amp; Offerings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Hardware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long-term objective is to achieve FTQC and to reach universality of computation and improve quantum computing key metrics, which is expected to surpass classical systems in terms of speed, accuracy, and energy efficiency, Pasqal’s neutral-atom QPU hardware is already being used to address specific use cases in optimization, simulation, and machine learning.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current commercially HPC integrated Orion machine features from 140 up to 200 physical qubits and requires only 4 kW compared to more than 1,400 kW for a classical supercomputer. Pasqal enables QPU for delivery and installation on-site so that its customers benefit from dedicated availability and full control over hardware updates.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each next generation of machine (Vela expected in 2027, 200+ physical qubits, Centaurus expected in 2028, for early FTQC, and Lyra expected in 2029 delivering impactful FTQC), Pasqal’s processors are increasing not only in qubit count, but also in repetition rate, fidelity, and number of parallel gate operations (running tasks simultaneously)</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seven (7) Orion QPUs have been installed, of which four (4) QPUs have already been delivered to third parties: the first to the French supercomputing center GENCI/CEA, the second to the Jülich Supercomputing Centre at Forschungszentrum Jülich, the third in Saudi Arabia, and the fourth to the Italy-based European HPC center, CINECA, with commissioning of the CINECA unit planned for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Cloud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working to provide remote access to quantum hardware for clients worldwide. Pasqal offers a robust suite of cloud services designed to make quantum computing accessible to a broad range of users, from researchers and developers to enterprise clients. Through partnerships with major cloud providers such as Microsoft Azure and Google Cloud Marketplace, as well as its own user portal, Pasqal enables seamless remote access to its neutral-atom QPUs.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Pasqal’s full-stack approach, the cloud services allow users to run quantum algorithms, perform simulations, and experiment with quantum applications without the need for specialized on-premises hardware. Pasqal’s cloud platform supports analog quantum computing mode and is integrated with advanced software tools like Pulser and Pulser Studio, which facilitate the design, testing, and deployment of quantum algorithms. By providing scalable, on-demand access to quantum hardware and a comprehensive software stack, Pasqal’s cloud offering accelerates innovation, supports education and research, and empowers organizations to explore and develop real-world quantum solutions.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Software Platforms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software stack is designed to address real-world challenges across industries such as logistics, finance, energy, telecom, and chemistry, supporting successful projects and industrial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User applications represent the front-end, where users design, develop, and submit quantum programs along with specifying computational resources. The Company offers ready-to-use libraries built around quantum-hybrid algorithms, tailored to problem classes like combinatorial optimization, dynamical system simulation, and quantum-inspired machine learning, with the aim of aligning customer needs with quantum solutions. Pasqal’s multi-level software development kit enables users to design quantum algorithms, compile them for neutral-atom architectures, and integrate them seamlessly into existing classical applications and workflows.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middleware layer coordinates the hybrid execution environment, being the bridge between classical HPC (or cloud), AI and quantum computing. This offers scalable options for experimentation, benchmarking, and integration into larger quantum-classical workflows.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core quantum engine manages quantum processing, control, and measurement.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consultation and training, Pasqal also supports businesses and researchers in adopting and implementing quantum technologies.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Manufacturing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Neutral-atom technology is a cost-effective approach compared with other competing platforms and enables scalable quantum computing. Building on this strength, Pasqal invested early in its lifetime, in in-house manufacturing capabilities foundational to its success. The Company’s investment in infrastructure and processes is expected to enable it to ramp up its capacity in the next few years to up to thirteen (13) QPUs per year, subject to full staffing and parts availability.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Go-to-Market &amp; Business Model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Go-to-Market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strategy is to provide high performance and cost effective quantum computing capabilities to our customers. Our customers are typically large supercomputing centers, enterprises in multiple sectors, the research community and industry innovators developing new materials, drugs and processes.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generate revenue through three segments (i) direct sales of our QPUs, (ii) cloud services or cloud access to our QPUs through strategic partners and (iii) software and algorithms related to our QPUs and for specific use cases. Direct sales of our QPUs target large public or enterprise customers. Cloud access to our QPUs is designed for broader research community and for application-specific use cases for enterprise customers. We are a global company with a significant presence and customer base in France and the European Union, and a growing footprint in the U.S., the Gulf Cooperation Council and Asia-Pacific regions. Our approach allows us to expand efficiently across different markets.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Business Model, commercialization levers and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 on enterprise-grade QPU and manufacturing capabilities, the company plans to shift from one-off sales to structured enterprise sales model with tailored strategies and deeper engagement across HPC centers and universities in Europe, the United States, the Gulf Cooperation Council and Asia-Pacific regions with dedicated regional teams.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commercial capabilities expand, the Company expects to scale cloud-based quantum access and accelerate adoption of Quantum Computing As A Service using enterprise ready applications and QPU emulation for target industries. Initially, the Company expects to leverage a quantum advantage inflection point as a business driver and broaden the range of monetizable use cases during the quantum advantage era.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promising results and the potential of quantum computing, Pasqal expects to deliver quantum embedded data unavailable by classical methods to unlock new insights in catalysis, corrosion and memory materials, creating a new business lever: Quantum Data as a Service.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Customers &amp; Key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sees the future of quantum computing as dependent on building a strong network of forward-thinking organizations that are dedicated to advancing the field. The Company has been actively forming commercial and collaborative partnerships with groups that not only understand the unique challenges of their industries but also bring specialized scientific and engineering knowledge.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such, Pasqal collaborates with a diverse range of leading clients and partners across sectors such as finance, healthcare, energy, and logistics. With approximately $79.1 million (€70.4 million) booked and awarded business including grants as of June 30, 2026, Pasqal’s network includes reputable academic institutions, research laboratories, and technology companies focused on advancing practical quantum computing applications. So far, Pasqal has concentrated on building a variety of customer relationships (leading to the identification of over 25 commercial use cases) and research collaborations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leading players in the energy sector seeking to leverage quantum computing for new use cases and algorithm development, such as EDF and Saudi Aramco, with whom Pasqal is deploying and operating the first 200-qubit quantum computer in Saudi Arabia;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in the logistics and mobility sector aiming at integrating quantum technology into the optimization of their operations, such as the CMA CGM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in the industry and materials science sectors aiming at accelerating to solve complex business challenges and materials discovery through atomic structure modeling, multiphysics and material simulations such as LG Electronics Inc., Panasonic Industry, and Sumitomo Corporation;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cloud service providers expanding access to quantum computing technology, such as Microsoft and Google Cloud, with whom Pasqal announced in 2025 integrations enabling users to access Pasqal’s neutral-atom quantum computer via Microsoft Azure Quantum and to access the Pasqal Cloud platform and QPU through the Google Cloud Marketplace, allowing organizations to integrate quantum capabilities into their workflows and enhance computational efficiency;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materials sciences researchers and quantum algorithm developers at renowned laboratories in academic venues such as </w:t>
      </w:r>
      <w:r>
        <w:rPr>
          <w:rFonts w:ascii="Times New Roman PS Std;serif" w:hAnsi="Times New Roman PS Std;serif"/>
          <w:b w:val="false"/>
          <w:i/>
          <w:caps w:val="false"/>
          <w:smallCaps w:val="false"/>
          <w:sz w:val="20"/>
        </w:rPr>
        <w:t>Institut d’Optique</w:t>
      </w:r>
      <w:r>
        <w:rPr>
          <w:rFonts w:ascii="Times New Roman PS Std;serif" w:hAnsi="Times New Roman PS Std;serif"/>
          <w:b w:val="false"/>
          <w:i w:val="false"/>
          <w:caps w:val="false"/>
          <w:smallCaps w:val="false"/>
          <w:sz w:val="20"/>
        </w:rPr>
        <w:t xml:space="preserve"> Graduate School, Jülich, CEA, Cineca, Université de Sherbrooke, Calgary University, and KAIST;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technology leaders collaborating on integrated quantum-classical computing frameworks for high-performance computing, such as IBM (Pasqal being a member of IBM quantum network), with whom Pasqal established the first partnership of its kind between a major U.S. technology institution and a company developing neutral atom-based quantum processors, leveraging IBM’s Qiskit quantum software. As part of this collaboration, in 2025 researchers from Pasqal and IBM jointly published a paper proposing a rigorous, platform-agnostic framework for defining quantum advantage, including in the context of materials simulation.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24, 2026, Pasqal announced a memorandum of understanding (the “</w:t>
      </w:r>
      <w:r>
        <w:rPr>
          <w:rFonts w:ascii="Times New Roman PS Std;serif" w:hAnsi="Times New Roman PS Std;serif"/>
          <w:b/>
          <w:i w:val="false"/>
          <w:caps w:val="false"/>
          <w:smallCaps w:val="false"/>
          <w:sz w:val="20"/>
        </w:rPr>
        <w:t>Saudi MoU</w:t>
      </w:r>
      <w:r>
        <w:rPr>
          <w:rFonts w:ascii="Times New Roman PS Std;serif" w:hAnsi="Times New Roman PS Std;serif"/>
          <w:b w:val="false"/>
          <w:i w:val="false"/>
          <w:caps w:val="false"/>
          <w:smallCaps w:val="false"/>
          <w:sz w:val="20"/>
        </w:rPr>
        <w:t>”) with Eleven Ventures, a Kingdom of Saudi Arabia based investment platform and venture capital firm, to establish a commercial joint venture to deploy, commercialize and scale our quantum computing systems across the Kingdom of Saudi Arabia and the wider region. The joint venture is intended to deploy and operate our neutral-atom systems in the Kingdom, to bring our offerings to market for customers in the Kingdom and the wider region, and to develop local talent and expertise. In connection with the arrangement, HRH Abdulaziz bin Turki bin Talal Al Saud, the founder of Eleven Ventures, is expected to be appointed as Chairman of the Board of the joint venture entity, Pasqal Arabia.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establishment of the joint venture remains subject to the approval of our board of directors and to the negotiation and execution of definitive agreements between the parties. Accordingly, there can be no assurance that definitive agreements will be entered into on the terms currently contemplated, or at all, or that the joint venture will be established or achieve the results currently anticipated.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12, 2026, we entered into a research collaboration agreement with King Abdulaziz City for Science and Technology (“KACST”), represented by its National Center for Quantum Technologies, to advance research and development across multiple domains of quantum technology and to enhance quantum cryptography readiness in the Kingdom of Saudi Arabia. Under the agreement, our neutral-atom quantum processing technology and cloud services will be paired with KACST’s national research infrastructure to develop, test and validate quantum-safe cryptographic solutions, with the work to be carried out at the National Center for Quantum Technologies. Quantum cryptography is the first focus area of what the parties intend to be a broader multi-year research program, and the parties have expressed a shared objective of ultimately bringing commercial offerings to the Saudi market. The agreement complements our other activities in the Kingdom, including our deployment of QPUs with Saudi Arabian Oil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research collaboration agreement does not obligate either party to enter into any commercial arrangement, and there can be no assurance that the collaboration will result in commercially viable products or offerings, that any future phases of the research program will be agreed, or that we will realize the anticipated benefits of the collaboration.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&amp; Marketing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go-to-market strategy centers on engaging high-value enterprise, public-sector, and research customers globally, both directly and through a network of ecosystem partners, including leading cloud providers and HPC centers. This model supports early adoption of our neutral-atom computing capabilities in mission-critical and high-value workflows and establishes a foundation for scaled procurement and embedded deployments as performance advances. We pursue opportunities across Europe and internationally, serving more than 30 customers in over 7 countries, and maintain deep collaborations with national research agencies and HPC institutions. We also form targeted strategic collaborations with major technology partners to integrate our systems into established compute workflows and accelerate customer adoption via the cloud, working alongside partners such as IBM, NVIDIA, Google, and Microsoft.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marketing and public affairs strategy has centered on building global visibility, fostering industry partnerships, and positioning itself as a leader in quantum innovation. For example, in 2024, the Company participated in several industry and technology events, including a high-performance computing workshop organized by King Abdullah University of Science and Technology in Saudi Arabia focused on the convergence of high-performance computing and quantum computing. In the same year, Pasqal organized a “Quantum Computing for Energy” event in Houston, Texas, which convened participants from industry, research institutions, and investment firms to discuss potential applications of quantum computing in areas including artificial intelligence, climate modeling, and energy systems. The Company also organized Pasqal Thoughts, an event dedicated to discussions on developments in quantum computing and its potential applications across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conducted a roadshow in the Middle East in 2024, organizing events in Abu Dhabi and Riyadh to engage with regional stakeholders from industry, research institutions, and government organizations. The Company also participated in international technology conferences, including GITEX Global in Dubai.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organized two editions of a global sustainability-focused hackathon, Blaise Pascal Quantum Challenge, inviting students, developers, researchers, startups, and industry participants to explore applications of quantum computing and artificial intelligence aligned with the United Nations Sustainable Development Goals. The initiative attracted hundreds of participants from more than 70 countries and focused on topics including energy systems optimization, resource efficiency, and sustainable healthcare innovation.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the Company continued to participate in a number of international technology and industry events, including LEAP Tech Conference in Saudi Arabia, the Quantum Innovation Summit in Dubai, NVIDIA GTC in the United States, Viva Technology in France, and the Supercomputing Conference in the United States. At the 2025 edition of NVIDIA GTC, Dr. Loïc Henriet participated in a session with Jensen Huang related to developments at the intersection of quantum computing and artificial intelligence. In 2026, the Company hosted its annual Pasqal Thoughts event in Paris, bringing together more than 150 participants from industry, academia, finance, and government across more than 10 countries.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achievements and partnerships have been widely covered in leading media outlets such as Bloomberg, Reuters, Sifted, HPC Wire, The Quantum Insider, and L’Usine Digitale, further enhancing its reputation and reach in the global quantum technology landscape. As Pasqal’s hardware platforms evolve and scale with successive generations, the Company intends to increase its allocation of resources to sales and marketing activities, with the objective of broadening the base of enterprise customers who directly license access to Pasqal’s quantum computing solutions.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quantum computing industry is rapidly changing and highly competitive. As new technologies emerge and more companies enter the field, Pasqal anticipates that competition will intensify over time. This could potentially impact Pasqal’s business performance and financial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faces competition from both established and emerging companies that are developing and operating quantum computing technologies. Leading players in quantum hardware and software development include IBM, Google, Microsoft, Amazon, Honeywell, IonQ, PsiQuantum, Rigetti, Quantinuum, Xanadu, Infleqtion, Horizon Quantum, IQM and QuEra. Additionally, many major cloud providers and traditional semiconductor companies are investing in quantum research and may pursue building their own quantum computers. There are also numerous startups focused on creating quantum hardware, software, applications, and cloud-based quantum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expects its main competitors to be other firms working on advanced quantum computing solutions. Key factors that will shape competition in this space include the underlying technology used to build quantum computers, system performance (such as scalability, speed, and accuracy), ease of access and user experience, software and application support, integration with classical computing workflows, pace of innovation, ability to deliver value through strategic partnerships, quality of customer support, effectiveness of solutions, pricing, brand reputation, financial strength, and the ability to attract and retain top talent.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Competitive analysis of the quantum industry should be viewed through the lens of what advantage customers can realize with real-world commercial applications. With Pasqal’s position at the forefront of neutral-atom quantum technology, extensive intellectual property portfolio, ability to handle in-house every critical aspect of system development, record of commercial execution and emerging use cases demonstrating practical value to enterprise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customers, Pasqal believes it is well positioned to compete, grow, and capture a significant share of the quantum computing market. However, Pasqal faces various risks relating to competition as described in “</w:t>
      </w:r>
      <w:r>
        <w:rPr>
          <w:rFonts w:ascii="Times New Roman PS Std;serif" w:hAnsi="Times New Roman PS Std;serif"/>
          <w:b w:val="false"/>
          <w:i/>
          <w:caps w:val="false"/>
          <w:smallCaps w:val="false"/>
          <w:sz w:val="20"/>
        </w:rPr>
        <w:t>Risk Factors — Risks Related to Pasqal’s Business and Industry — The quantum computing industry is competitive on a global scale and Pasqal may not be successful in competing in this industry or establishing and maintaining confidence in its long-term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business prospects among current and future partners and customers. Additionally, competitive pressures may put pressure on our pricing, which may require us to reduce our pricing in order to provide competitively priced access to our products and services.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activities are subject to (or could be subject to in the future) various laws and regulations, particularly in the areas of export control and emerging European quantum technology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Pasqal’s QPUs are not classified as dual-use items and therefore are not subject to sensitive export control regulations. However, the Company remains vigilant, as changes in legislation could alter this status. To anticipate such risks, Pasqal has implemented active regulatory monitoring, rigorous internal compliance procedures, and maintains regular dialogue with the relevant authorities to ensure ongoing compliance and responsible international expansion (especially in geographies in which Pasqal is established such as France, United States, Canada, Saudi Arabia, South Korea and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European level, the proposed EU Quantum Act, which is not yet in force, may introduce new requirements regarding the development, commercialization, and compliance of quantum technologies. In preparation, Pasqal pursues a proactive advocacy strategy, including participation in industry events and engagement with policymakers, to ensure readiness for any regulatory changes and to promote a framework that supports the competitiveness of the European quantum sector.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business is subject to certain restrictions and oversight as a result of its relationship with the French State and its corporate governance structure. Bpifrance, the French public investment bank, is a shareholder of Pasqal, and will have representation on the go-forward Pasqal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French law, certain matters, such as the transfer of all or most of the intellectual property owned by Pasqal, the sale of all or most of the significant assets of Pasqal, or changes to the jurisdiction of incorporation of Pasqal require approval from the shareholders of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French Law restrictions detailed above, certain strategic decisions affecting Pasqal’s business operations are subject to the majority vote (including the positive vote of Bpifrance) of a strategic committee established at Pasqal SAS. This committee, which includes a representative of Bpifrance and other key stakeholders, has authority to approve or block decisions relating to, among other things, changes to Pasqal SAS’ jurisdiction of incorporation, the transfer of intellectual property owned by Pasqal outside of France, the sale of significant assets owned by Pasqal to non-EU acquirers, and the appointment of key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Pasqal’s operations are governed by a business allocation agreement between Pasqal SAS and New Pasqal, which establishes a framework for the segregation of operations and activities within the Pasqal group, including the allocation of research and development and hardware activities to Pasqal SAS or its subsidiaries. The business allocation agreement is intended to ensure compliance with French sovereignty and national security requirements, and any amendment to the business allocation agreement will require the approval of the strategic committee of Pasqal SAS (including the positive vote of Bpifrance). See “</w:t>
      </w:r>
      <w:r>
        <w:rPr>
          <w:rFonts w:ascii="Times New Roman PS Std;serif" w:hAnsi="Times New Roman PS Std;serif"/>
          <w:b w:val="false"/>
          <w:i/>
          <w:caps w:val="false"/>
          <w:smallCaps w:val="false"/>
          <w:sz w:val="20"/>
        </w:rPr>
        <w:t>Risk Factors — Risks Related to Litigation and Government Regulation — Pasqal may experience delays or limitations in strategic decision-making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due to governance structure and restrictions under French law.</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 and Human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success relies heavily on its talented team. The Company takes pride in hiring skilled professionals who are passionate about advancing quantum computing. As of the date of this prospectus, Pasqal employs approximately 300 people, including experts in quantum hardware and software, engineering, and business operations. Many of Pasqal’s staff are based out of the Palaiseau, France office, and the Company also works with a select group of consultants and contractors to support its core team. Most employees are focused on research and development, and more than 70 PhD degrees are held by these employees.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has maintained positive relationships with its workforce and has not faced any work stoppages. Pasqal has maintained positive relationships with its workforce and has not faced any work stoppages. Pasqal’s employees are subject to a collective bargaining agreement (convention collective nationale des bureaux d’études techniques, des cabinets d’ingenieurs-conseils et des sociétés de conseils du 16 juillet 2021 — BET, SYNTEC). None of Pasqal’s employees are represented by a labor union at this time. In addition, working time organization is governed by a company-level agreement signed with employee representatives.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July 2024, Pasqal’s corporate headquarters have been located in Palaiseau, France, occupying 57,113 square feet pursuant to a lease agreement that is scheduled to expire in June 2034. The headquarters house 14 specialized laboratories, 10 rooms dedicated to QPUs for research and development, production, and cloud activities, as well as more than 200 workstations for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subleases approximately 6,673 square feet of space in Massy, France under a sublease agreement that is scheduled to expire in August 2028 with an option to renew for an additional one-year term. This facility is currently used to accommodate the parts of the assembly laboratory that have not yet been transferred to the corporate headquarters for operational reasons.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Company’s cold and vacuum activity is operated from a facility located in Joinville-le-Pont, France, occupying 7,739 square feet of space, under a lease agreement that is scheduled to expire in November 2033.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Paris, Pasqal (i) leases a coworking space of 1,700 square feet under a lease agreement that is scheduled to expire on September 6, 2026 and (ii) a coworking space of approximately 2,690 square feet in Paris under a lease agreement that is scheduled to expire on August 31,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Amsterdam, the Netherlands, Pasqal is leasing a coworking space of approximately 485 square feet under a lease agreement that is scheduled to expire on December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Pasqal opened its first North American factory in Sherbrooke, in the province of Quebec, Canada, occupying an area of 10,545 square feet. This facility is the Company’s second factory worldwide after the Palaiseau site. This factory operates under a lease agreement that is scheduled to expire in February 2034.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Aeponyx subsidiary is currently leasing facilities in Montreal, Canada. The Montreal facility is 4,538 square feet and is governed by a lease agreement that is scheduled to expire in April 2027, with an option to renew for an additional 2-year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U.S., Pasqal currently leases one coworking space (one desk) in an unassigned common area in Chicago under an arrangement that is scheduled to expire in October 2026. The Company also subleases approximately 1,998 square feet of space in Chicago under a sublease agreement scheduled to expire on June 30,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Riyadh, Kingdom of Saudi Arabia, Pasqal currently leases a four-person coworking space pursuant to a lease agreement that expires on January 31,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Korea, the Company leases an eight-person coworking space in Seoul pursuant to a lease agreement that expires in October 2026. This coworking space is currently used to host our local team. In Daejong, the Company is currently leasing 2,938 square feet in a facility with a lease ending in October 2027. This lease is primarily for interactions with the local academic ecosystem.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Pasqal may be subject to actions, claims, suits, or other legal proceedings arising in the ordinary course of business. Management believes that Pasqal is not presently a party to any such actions, claims, suits, or proceedings, the outcome of which, if determined adversely, would have a material adverse effect on the Company’s results of operations, financial condition, or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112"/>
      <w:bookmarkEnd w:id="11"/>
      <w:r>
        <w:rPr>
          <w:rFonts w:ascii="Times New Roman PS Std;serif" w:hAnsi="Times New Roman PS Std;serif"/>
          <w:b/>
          <w:i w:val="false"/>
          <w:caps w:val="false"/>
          <w:smallCaps w:val="false"/>
          <w:sz w:val="20"/>
        </w:rPr>
        <w:t xml:space="preserve">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with respect to our directors and executive officers as of the date hereof. Each executive officer is appointed for such term as may be prescribed by the board of directors or until a successor has been chosen and qualified or until such officer’s death, resignation or removal. Unless otherwise indicated, the business address of all executive officers and directors is 24, rue Emile Baudot, 91120 Palaiseau, France.</w:t>
      </w:r>
    </w:p>
    <w:tbl>
      <w:tblPr>
        <w:tblW w:w="7135" w:type="dxa"/>
        <w:jc w:val="left"/>
        <w:tblInd w:w="0" w:type="dxa"/>
        <w:tblLayout w:type="fixed"/>
        <w:tblCellMar>
          <w:top w:w="0" w:type="dxa"/>
          <w:left w:w="0" w:type="dxa"/>
          <w:bottom w:w="0" w:type="dxa"/>
          <w:right w:w="0" w:type="dxa"/>
        </w:tblCellMar>
      </w:tblPr>
      <w:tblGrid>
        <w:gridCol w:w="2641"/>
        <w:gridCol w:w="146"/>
        <w:gridCol w:w="556"/>
        <w:gridCol w:w="146"/>
        <w:gridCol w:w="3646"/>
      </w:tblGrid>
      <w:tr>
        <w:trPr/>
        <w:tc>
          <w:tcPr>
            <w:tcW w:w="2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3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Position(s)</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Wasiq Bokhari</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Loïc Henriet</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Stéphane Rougeot</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Alain Aspect</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Non-Executive Chair of the Board</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Georges-Olivier Reymond</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Michel Combes</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Lead Independent Director</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Dalibard</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Nicolas Berdou*</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Raby</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Gundlach</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Nicolas Berdou serves on our Board of Directors as the permanent representative of Bpifrance, which was designated as a director pursuant to the Business Combination Agreement. Under French law, a legal entity (personne morale) serving as a director of a société anonyme must be represented by a permanent representative (représentant permanent) who is a natural person.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Dr. Wasiq Bokhari</w:t>
      </w:r>
      <w:r>
        <w:rPr>
          <w:rFonts w:ascii="Times New Roman PS Std;serif" w:hAnsi="Times New Roman PS Std;serif"/>
          <w:b w:val="false"/>
          <w:i w:val="false"/>
          <w:caps w:val="false"/>
          <w:smallCaps w:val="false"/>
          <w:sz w:val="20"/>
        </w:rPr>
        <w:t xml:space="preserve"> serves as our Chief Executive Officer and a member of our board of directors. Dr. Bokhari has served in various capacities at Legacy Pasqal including as President (Président) since March 2026, as Executive Chairman from January 2024 to March 2026 and as an advisor to the Legacy Pasqal Board and chief executive officer from September 2023 to January 2024. Dr. Bokhari also served as the Chief Technology Officer and Chief Product Officer in Residence at TONOMUS, the digital division of NEOM, from August 2023 until October 2024. Prior to that, Dr. Bokhari served as the Director and Chief Executive Officer of Strategic Initiatives at Amazon from May 2017 until June 2022, where he led a 300-person team to build and scale live-streamed marketplaces, consumer devices, and real-time machine learning solutions for video optimization, and played a pivotal role in initiating Amazon’s foray into quantum computing. Before Amazon, Dr. Bokhari served at Google, where he led moonshot initiatives in smart cities, including the creation of Sidewalk Labs. Prior to Google, Dr. Bokhari served as a partner at Draper Nexus, a venture capital firm focused on cutting-edge technology ventures, and as an Entrepreneur in Residence at New Enterprise Associates (NEA) focusing on deep technology investments. Earlier in his career, Dr. Bokhari founded a series of technology companies spanning enterprise middleware, chemical and biological threat detection sensors, inkjet-printed photodiodes for diagnostics, and a robotics-based tracking system for large scale solar projects, which was acquired by SolarCity (now Tesla). Prior to his entrepreneurial career, he was a faculty member in the department of physics at the University of Pennsylvania. Dr. Bokhari holds a Ph.D. in Physics and dual undergraduate degrees in Mathematics and Physics from the Massachusetts Institute of Technology. His Ph.D. thesis was one of the discovery modes of the top quark at Fermilab.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Dr. Loïc Henriet</w:t>
      </w:r>
      <w:r>
        <w:rPr>
          <w:rFonts w:ascii="Times New Roman PS Std;serif" w:hAnsi="Times New Roman PS Std;serif"/>
          <w:b w:val="false"/>
          <w:i w:val="false"/>
          <w:caps w:val="false"/>
          <w:smallCaps w:val="false"/>
          <w:sz w:val="20"/>
        </w:rPr>
        <w:t xml:space="preserve"> serves as our Chief Technology Officer. Dr. Henriet served as Chief Executive Officer of Legacy Pasqal until March 2026, where he was directly responsible for Legacy Pasqal’s hardware and software technological developments as well as its overall operations. As one of its earliest employees, he served as Head of Quantum Software and Applications from June 2019 to November 2021 and later served as Chief Technology Officer from November 2021 to February 2024. Dr. Henriet has also served on the board of directors of Legacy Pasqal. Dr. Henriet holds an engineering degree and a Ph.D. in theoretical quantum physics from École Polytechnique. He is also an alumnus of The Institute of Photonic Sciences.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Stéphane Rougeot</w:t>
      </w:r>
      <w:r>
        <w:rPr>
          <w:rFonts w:ascii="Times New Roman PS Std;serif" w:hAnsi="Times New Roman PS Std;serif"/>
          <w:b w:val="false"/>
          <w:i w:val="false"/>
          <w:caps w:val="false"/>
          <w:smallCaps w:val="false"/>
          <w:sz w:val="20"/>
        </w:rPr>
        <w:t xml:space="preserve"> serves as our Chief Financial Officer. Mr. Rougeot has served as Chief Financial Officer of Legacy Pasqal since June 2026. From 2024 to June 2026, Mr. Rougeot served as the founder and President of Sust.ance. From January 2022 to October 2024, Mr. Rougeot served as Deputy Chief Executive Officer and Chief Financial Officer of Deezer S.A., a global music streaming company listed on Euronext Paris. From 2016 to 2020, Mr. Rougeot served as Chief Financial Officer of Signify N.V., formerly Philips Lighting N.V., a global lighting company listed on Euronext Amsterdam, and as a member of its Board of Management. From 2008 to 2016, Mr. Rougeot held several senior executive positions at Technicolor S.A., formerly Thomson, including Chief Financial Officer, Head of Strategy and Portfolio Management and, beginning in 2015, Deputy Chief Executive Officer and President of its Technology business group. Prior to joining Technicolor, Mr. Rougeot held several senior positions at France Telecom-Orange, including Group Controller. Earlier in his career, Mr. Rougeot worked at Total and Thomson Multimedia where he led the IPO on Paris and NYSE and managed investor relations. Mr. Rougeot holds a postgraduate degree in international finance from Paris IX-Dauphine University and is a graduate of the Institut d’Études Politiques de Paris (Sciences Po).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Alain Aspect</w:t>
      </w:r>
      <w:r>
        <w:rPr>
          <w:rFonts w:ascii="Times New Roman PS Std;serif" w:hAnsi="Times New Roman PS Std;serif"/>
          <w:b w:val="false"/>
          <w:i w:val="false"/>
          <w:caps w:val="false"/>
          <w:smallCaps w:val="false"/>
          <w:sz w:val="20"/>
        </w:rPr>
        <w:t xml:space="preserve"> serves as our Non-Executive Chair. Mr. Aspect is one of the founders of Legacy Pasqal and currently serves as Chair of Legacy Pasqal’s Scientific Advisory Board, a position he has held since 2023. Mr. Aspect also served as a scientific advisor of Legacy Pasqal from 2019 to 2024. Prior to his work at Pasqal, Mr. Aspect served as a member of the board of Essilor between 2001 and 2012. Mr. Aspect is a Professor at the Institut d’Optique — Université Paris-Saclay, a professor at École Polytechnique (Institut Polytechnique de Paris) emeritus, a CNRS senior researcher emeritus, and is a member of the French Academy of Sciences and the French Academy of Technologies. Mr. Aspect is co-recipient of the 2022 Nobel Prize in Physics for his experimental work on Bell inequalities, probing the foundations of quantum physics “and pioneering quantum information science”. He is a member of several national science academies, including those of Austria, Belgium, France, the United Kingdom, and the United States. Mr. Aspect’s awards include the French National Centre for Scientific Research gold medal (2005), the Wolf Prize (2010), the Niels Bohr International Gold Medal (2013), the Albert Einstein medal (2013), the UNESCO Niels Bohr Gold Medal (2013), and the Balzan Prize for Quantum Information Processing and Communication (2013). Mr. Aspect is an alumnus of ENS Cachan and earned his Ph.D. in physics at the Institut d’Optique — Université d’Orsay (now Université Paris-Saclay).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Georges-Olivier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Reymond</w:t>
      </w:r>
      <w:r>
        <w:rPr>
          <w:rFonts w:ascii="Times New Roman PS Std;serif" w:hAnsi="Times New Roman PS Std;serif"/>
          <w:b w:val="false"/>
          <w:i w:val="false"/>
          <w:caps w:val="false"/>
          <w:smallCaps w:val="false"/>
          <w:sz w:val="20"/>
        </w:rPr>
        <w:t xml:space="preserve"> serves as a director. Mr. Reymond is one of the founders of Legacy Pasqal and served as Legacy Pasqal’s Chief Strategic Alliances Officer from April 2025 through September 2026 when he transitioned to being special advisor to the CEO. Since September 2025, Mr. Reymond has also served as a director and General Manager of Pasqal Canada Inc., and as a director of Aeponyx Enterprises Inc., both of which are subsidiaries of Legacy Pasqal. Mr. Reymond previously served as Chief Executive Officer of Legacy Pasqal from its founding in March 2019 until April 2025 and as chairman of the Legacy Pasqal Board of Directors from April 2021 until April 2025. Prior to founding Legacy Pasqal, Mr. Reymond held leadership roles in R&amp;D and project management at UnitySC and Safran, where he specialized in bringing advanced technologies from research to commercialization. Mr. Reymond holds a Ph.D. in Quantum Physics from Université Paris-Sud, where, under the supervision of Philippe Grangier, he pioneered neutral atom technology for quantum computing. In 2025, he received the Yves Rocard Award from the French Society of Physics for outstanding technology transfer.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Michel Combes </w:t>
      </w:r>
      <w:r>
        <w:rPr>
          <w:rFonts w:ascii="Times New Roman PS Std;serif" w:hAnsi="Times New Roman PS Std;serif"/>
          <w:b w:val="false"/>
          <w:i w:val="false"/>
          <w:caps w:val="false"/>
          <w:smallCaps w:val="false"/>
          <w:sz w:val="20"/>
        </w:rPr>
        <w:t>serves as a director. Since June 2022, Mr. Combes has served as Executive Chairman and Chief Executive Officer of Brightspeed, a broadband services company. Mr. Combes previously served as Chief Executive Officer and President of SoftBank Group International from June 2020 to June 2022, and President and Chief Executive Officer of Sprint (formerly NYSE: S) from January 2018 until April 2020. His prior leadership roles also include Chief Executive Officer of Altice N.V., Chief Executive Officer of Alcatel-Lucent (formerly NYSE: ALU), Chief Executive Officer of Vodafone Europe, Chairperson and Chief Executive Officer of TDF Group, and Chief Financial Officer and senior executive vice president of France Telecom. Mr. Combes has served on the board of directors of F5, Inc. (NASDAQ: FFIV), Philip Morris International Inc. (NYSE: PM), Etisalat (AED: EAND), SoFi Technologies, Inc. (NASDAQ: SOFI), WeWork Inc. (formerly NYSE: WE), and several private companies. Mr. Combes received an M.S. degree from École Polytechnique with a focus in engineering and a doctorate from Paris Dauphine University.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Barbara Dalibard</w:t>
      </w:r>
      <w:r>
        <w:rPr>
          <w:rFonts w:ascii="Times New Roman PS Std;serif" w:hAnsi="Times New Roman PS Std;serif"/>
          <w:b w:val="false"/>
          <w:i w:val="false"/>
          <w:caps w:val="false"/>
          <w:smallCaps w:val="false"/>
          <w:sz w:val="20"/>
        </w:rPr>
        <w:t xml:space="preserve"> serves as a director and is Chair of the nominating and corporate governance committee. From 2016 to 2021, Ms. Dalibard served as Chief Executive Officer of SITA, the world’s largest IT provider to the air transport industry, where she led innovation in global baggage, border, and aircraft systems. Prior to SITA, Ms. Dalibard served as Chief Executive Officer of SNCF Voyageurs from 2010 to 2016, managing France’s passenger rail services and launching the OUIGO low-cost train network. Earlier in her career, Ms. Dalibard held senior technology and telecommunications roles at France Télécom and Orange, including serving as CEO of Orange Business Services, where she expanded enterprise telecom and IT services across 220 countries, and as head of Alcanet International, an Alcatel subsidiary. Ms. Dalibard is the Chair of the Michelin Supervisory Board (Euronext Paris: ML) and has been a board member since 2008. She has served on the board of directors of Rexel S.A. (Euronext Paris: RXL) since 2021. She has also served as a board member of Devoteam since 2021 and ATC Europe since 2024. She also holds a seat on the Académie des Technologies. Ms. Dalibard holds dual master’s degrees from Télécom ParisTech and École Normale Supérieure and is an honorary Corps des Mines engineer. She is an Officer of the Légion d’honneur and the Ordre national du Mérite and holds an Honorary Doctorate from École Polytechnique de Montréal.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Michael Blitzer </w:t>
      </w:r>
      <w:r>
        <w:rPr>
          <w:rFonts w:ascii="Times New Roman PS Std;serif" w:hAnsi="Times New Roman PS Std;serif"/>
          <w:b w:val="false"/>
          <w:i w:val="false"/>
          <w:caps w:val="false"/>
          <w:smallCaps w:val="false"/>
          <w:sz w:val="20"/>
        </w:rPr>
        <w:t>serves as a director. Mr. Blitzer is the founder and managing partner of Inflection Point Asset Management LLC, an investment platform focused on companies operating at the intersection of national security, technology, and critical infrastructure. He has also led strategic mergers and acquisitions transactions intended to support the growth and public market development of Inflection Point portfolio companies. Mr. Blitzer served as co-CEO and director of Inflection Point Acquisition Corp. from February 2021 until the closing of its business combination with Intuitive Machines, Inc. in February 2023; Chairman and CEO of Inflection Point Acquisition Corp. II from March 2023 until the closing of its business combination with USA Rare Earth, Inc. in March 2025; Chairman and CEO of Inflection Point Acquisition Corp. III from October 2024 until the closing of its business combination with Air Water Ventures Limited in August 2026; and President, CEO, and director of Inflection Point Acquisition Corp. IV from July 2025 until the completion of its initial business combination with Merlin Labs, Inc. in March 2026. He currently sits on the board of directors and audit committee of Intuitive Machines, Inc. (Nasdaq: LUNR); is the Executive Chairman of USA Rare Earth, Inc. (Nasdaq: USAR); and serves on the board of directors and as a member of the nominating and corporate governance committee of Merlin, Inc. (Nasdaq: MRLN). Mr. Blitzer also serves as Chairman and CEO of Inflection Point Acquisition Corp. V (Nasdaq: IPEX), which announced a business combination with GOWell Technology Limited on October 14, 2025; Chairman of Inflection Point Acquisition Corp. VI (Nasdaq: IPFX), which announced a business combination with Quantum Space, LLC on June 8, 2026; Chairman of Inflection Point Acquisition Corp. VII (Nasdaq: IPXG), which announced a business combination with Elroy Air on June 26, 2026; and Inflection Point Acquisition Corp. VIII (Nasdaq: IPHX), which completed its initial public offering on August 31, 2026. Prior to founding Inflection Point, Mr. Blitzer was the Founder and Chief Executive Officer of Kingstown Capital Management, an investment management firm he founded in 2004 with author and investor Joel Greenblatt and led until 2021. He began his career at J.P. Morgan in 1999, where he advised companies on private debt and equity capital raising transactions. Mr. Blitzer has taught courses at Columbia Business School and has served on the board of the Heilbrunn Center for Investing at Columbia Business School. Mr. Blitzer holds an M.B.A. from Columbia Business School and a B.S. from Cornell University.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Andrew Gundlach </w:t>
      </w:r>
      <w:r>
        <w:rPr>
          <w:rFonts w:ascii="Times New Roman PS Std;serif" w:hAnsi="Times New Roman PS Std;serif"/>
          <w:b w:val="false"/>
          <w:i w:val="false"/>
          <w:caps w:val="false"/>
          <w:smallCaps w:val="false"/>
          <w:sz w:val="20"/>
        </w:rPr>
        <w:t xml:space="preserve">serves as a director and is Chair of the compensation committee. Mr. Gundlach is the President and Chief Executive Officer of Bleichroeder LP, a registered investment advisor focused on ultra-high-net worth families. In April 2026, Mr. Gundlach resigned from his positions as Chairman, President and Chief Executive Officer. Mr. Gundlach was subsequently appointed to serve as Executive Chairman of the Board, effective April 29, 2026. Mr. Gundlach re-created Bleichroeder with the support of First Eagle, the successor to Arnhold and S. Bleichroeder Holdings, Inc., which was renamed First Eagle Holdings in 2015 after private equity funds managed by The Blackstone Group and Corsair Capital acquired a controlling stake in the company, a transaction Mr. Gundlach initiated, negotiated and helped architect. Mr. Gundlach joined Arnhold and S. Bleichroeder Holdings, Inc. in 2006 to launch and co-run 21 April Funds Ltd., and soon thereafter served as a director to help negotiate and support the restructuring of the business via a minority investment from TA Associates. Thereafter, Mr. Gundlach continued to serve for over 15 years as a key director of this leading asset management firm in the public equity, high-yield municipal, and private credit markets with over $130 billion in assets under management. Since 2015 he has also headed Goldiron, a registered investment advisor focused on institutions and ultra-high-net-worth investors. Prior to joining Bleichroeder LP and First Eagle, Mr. Gundlach was a founding partner of Artemis Advisors, a hedge fund backed with a strategic investment from XL Capital of Bermuda, an insurance company. Mr. Gundlach co-chaired the Board of Directors of Materia, Inc. and led its sale to Exxon in December 2021, bringing Nobel Prize-winning technology with proprietary processes to commercial scale. Additionally, he was invited to invest alongside Sofina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 a public Belgian company, in their recapitalization and investment into Cambridge Associates, the preeminent advisory firm in asset allocation, manager selection and alternative investments. Mr. Gundlach is a Member of the Council on Foreign Relations, where he has served on the Investment Committee, and is an adjunct professor at Columbia Business School’s Heilbrunn Center for Graham &amp; Dodd Investing, where he teaches courses on investing, and currently serves on the School’s Board and Endowment Board. In addition, Mr. Gundlach currently serves on the Board of Directors of Welltower (NYSE: WELL), a publicly traded health care infrastructure REIT. Mr. Gundlach began his career in the Investment Banking and M&amp;A departments of Morgan Stanley and JPMorgan. He holds a BS and a Masters in International Relations and Affairs from Georgetown University, and an MBA from Columbia Business School.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Nicolas Berdou</w:t>
      </w:r>
      <w:r>
        <w:rPr>
          <w:rFonts w:ascii="Times New Roman PS Std;serif" w:hAnsi="Times New Roman PS Std;serif"/>
          <w:b w:val="false"/>
          <w:i w:val="false"/>
          <w:caps w:val="false"/>
          <w:smallCaps w:val="false"/>
          <w:sz w:val="20"/>
        </w:rPr>
        <w:t xml:space="preserve"> serves as a director, serving as the permanent representative of Bpifrance, the legal entity designated to serve as a director pursuant to the Business Combination Agreement and, following the Closing, the Bpifrance Board Representation Letter. Mr. Berdou has served as an Investment Director at Bpifrance, the French public investment bank, since November 2017, where he leads venture capital investments in technology, deep-tech and defense companies, including on behalf of the Fonds Innovation Défense and Definvest funds established with the French Ministry of the Armed Forces. Mr. Berdou has served as a director of Pasqal SAS since April 2021 and as a director of Pasqal Holding SAS since February 2026, and serves as a member of its audit committee and remuneration committee. Over the last nine years, Mr. Berdou has served as a member of the board of directors of ten companies as a representative of a French public entity, including deep-tech companies within the Bpifrance portfolio such as SiPearl, Unseenlabs, Exotrail and Cailabs. Prior to joining Bpifrance, Mr. Berdou spent the earlier part of his career at the French Direction Générale de l’Armement, where he held technical, supervisory and program management positions in aeronautical programs, including the Rafale fighter aircraft program, and he is an ingénieur en chef de l’armement. Mr. Berdou holds an engineering degree in aeronautics from the École Nationale Supérieure d’Ingénieurs de Constructions Aéronautiques (ENSICA) in Toulouse, 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Jean Raby</w:t>
      </w:r>
      <w:r>
        <w:rPr>
          <w:rFonts w:ascii="Times New Roman PS Std;serif" w:hAnsi="Times New Roman PS Std;serif"/>
          <w:b w:val="false"/>
          <w:i w:val="false"/>
          <w:caps w:val="false"/>
          <w:smallCaps w:val="false"/>
          <w:sz w:val="20"/>
        </w:rPr>
        <w:t xml:space="preserve"> serves as a director as the designee of EIC Fund, and is Chair of the audit committee. Since 2022, Mr. Raby has served as a Partner and Chief Client and Business Development Officer of Astorg, a pan-European private equity firm, where he is responsible for investor relations and business development, and is a member of the Executive Committee. Prior to joining Astorg, Mr. Raby was a founding sponsor and Co-Chief Executive Officer of Odyssey Acquisition S.A., a special purpose acquisition company listed on Euronext Amsterdam, which combined with BenevolentAI in 2022. From 2017 to 2021, Mr. Raby served as Chief Executive Officer of Natixis Investment Managers and Head of Asset and Wealth Management for Natixis. From 2013 to 2016, he served as Executive Vice President and Chief Financial and Legal Officer of Alcatel-Lucent. Earlier in his career, Mr. Raby spent nearly two decades at Goldman Sachs, which he joined in 1996 in Paris, where he was named Managing Director in 2002 and Partner in 2004, later serving as Head of Investment Banking for France, Belgium and Luxembourg and, from 2011, as Co-Head of the firm’s operations in Russia. He began his career as a corporate lawyer at Sullivan &amp; Cromwell in New York and Paris. Mr. Raby has served on the board of directors of AerCap Holdings N.V. (NYSE: AER), Fiera Capital Corporation (TSX: FSZ), SNC-Lavalin Group (now AtkinsRéalis) (TSX: ATRL) and BenevolentAI. Mr. Raby, a dual Canadian and French citizen and a retired member of the New York Bar, holds a Bachelor of Laws degree from Université Laval, a Master of Philosophy in International Relations from the University of Cambridge and a Master of Laws degree from Harvard Law School.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Private Issuer Exemption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as defined by the SEC, we are permitted to follow home country corporate governance practices, instead of certain corporate governance practices required by Nasdaq for U.S. domestic issuers other than with respect to certain voting and committee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take all actions necessary for us to maintain compliance as a foreign private issuer under the applicable corporate governance requirements of the Sarbanes-Oxley Act, the rules adopted by the SEC and the Nasdaq corporate governance rules and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corporate governance practices in France, which is our home country, may differ significantly from Nasdaq corporate governance listing standards. Among other things, we are not required to have: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of the board of directors consist of independent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compensation committee consisting of independent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nominating and governance committee consisting of independent directors;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regularly scheduled executive sessions with only independent directors each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not required and as may be changed from time to time, we currently have a majority independent board of directors, an independent compensation committee and an independent nominating and governance committee.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subject to certain restrictions and oversight as a result of our relationship with the French State and our corporate governance structure. Bpifrance, the French public investment bank, is a shareholder of ours, and has representation on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French law, certain matters, such as the transfer of all or most of the intellectual property owned by Pasqal, the sale of all or most of the significant assets of Pasqal, or changes to the jurisdiction of incorporation of Pasqal require approval from the shareholders of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French Law restrictions detailed above, certain strategic decisions affecting Pasqal’s business operations are subject to the majority vote (including the positive vote of Bpifrance) of a strategic committee established at the level of Pasqal SAS consisting of five members, including (i) the Chief Executive Officer of the Company, (ii) Pasqal SAS’ Président, (iii) two board members of the Company and (iv) a representative of Bpifrance, one of Legacy Pasqal’s shareholders that will remain a shareholder of the Company. The consent of the Strategic Committee will be required in connection with decisions relating to, among other things, changes to Pasqal SAS’ jurisdiction of incorporation, the sale of a major portion of intellectual property or assets to a non-French acquirer, the development of any intellectual property by Pasqal SAS filed outside of France, the license of any intellectual property by Pasqal SAS including to any subsidiary of Pasqal, any transfer to be made pursuant to the Business Allocation Agreement, any amendment to the Business Allocation Agreement, any production of critical parts that are not one generation behind outside of France, any amendment to the definition of core hardware technical activities subject to a firewall, and the ratification of the appointment of Pasqal SAS’ President.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Pasqal’s operations are governed by a business allocation agreement between Pasqal SAS and the Company, which establishes a framework for the segregation of operations and activities within Pasqal, including the allocation of research and development and hardware activities to Pasqal SAS or its subsidiaries. The business allocation agreement is intended to ensure compliance with French sovereignty and national security requirements, and any amendment to the business allocation agreement will require the approval of the strategic committee of Pasqal SAS (including the positive vote of Bpifrance).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Risk Factors — Risks Related to Litigation and Government Regulation — Pasqal may experience delays or limitations in strategic decision-making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due to governance structure and restrictions under French law.</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Independence of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seven of our nine directors are independent directors and we have an independent audit committee, compensation committee and nominating and governance committee. Alain Aspect, Michel Combes, Barbara Dalibard, Michael Blitzer, Nicolas Berdou, Andrew Gundlach and Jean Raby are “independent directors,” as defined in Nasdaq listing standards and applicable SEC rules.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Composition of the Board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Classified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is divided into three classes, designated Class I, Class II and Class III, with members of each class serving staggered three-year terms. The Board of Directors is divided into the following classes: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I, which consists of Michael Blitzer, Alain Aspect and Georges-Olivier Reymond, whose terms will expire at our first extraordinary general meeting of shareholders to be held after the consummation of the Business Combination;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II, which consists of Jean Raby, Andrew Gundlach and Barbara Dalibard, whose terms will expire at our second extraordinary general meeting of shareholders to be held after the consummation of the Business Combination;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III, which consists of Dr. Wasiq Bokhari, Nicolas Berdou and Michel Combes, whose terms will expire at our third extraordinary general meeting of shareholders to be held after the consummation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extraordinary general meeting of shareholders to be held after the initial classification of the Board of Directors, the successors to the directors whose terms then expire will be elected to serve from the time of their election and qualification until the third annual general meeting of shareholders following their election and until their respective successors are duly elected and qualified. This classification of the Board of Directors may have the effect of delaying or preventing changes in control of the Company or its management.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Lead Independent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Combes currently serves as Lead Independent Director. As Lead Independent Director, Mr. Combes has the following roles and responsibilities: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calling meetings of our independent directors as may be necessary from time to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presiding executive sessions of our independent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our Chief Executive Officer and other members of senior management on business strategy and leadership development, as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serving as principal liaison between our independent directors and our Chief Executive Officer and Chair;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any significant conclusions or requests arising from the independent director sessions with our Chief Executive Officer or Chair, and otherwise communicating from time to time with our Chief Executive Officer and Chair;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disseminating information to the rest of our board of directors as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being available, as appropriate, for communication with shareholders;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leadership to our board of directors if circumstances arise in which the role of our Chief Executive Officer or Chair may be, or may be perceived to be, in conflict;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agendas and meeting schedules to assure that there is sufficient time for discussion of all agenda items, and information provided to our board of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performing other duties as may be, from time to time, set forth in the Internal Regulations of the Board or requested by our board of directors to assist it in the fulfillment of its responsibilities, by individual directors, by our Chief Executive Officer or by our Chair.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leadership structure allows us to leverage the experience of our Chief Executive Officer, expertise and long-term perspective of our Chair and the independent perspective of our Lead Independent Director. We believe that this structure, combined with our strong committee system, meets the current corporate governance needs and oversight responsibilities of the board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Committees of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direct the management of our business and affairs, as provided by French law, and conduct its business through meetings of the board of directors and standing committees. We have a standing audit committee, compensation committee and nominating and governance committee, which operate under their respective written charters. Our board of directors may from time to time establish other committees.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from time to time, special committees may be established under the direction of the board of directors when the board of directors deems it necessary or advisable to address specific issues. Current copies of our committee charters are posted on our website, </w:t>
      </w:r>
      <w:r>
        <w:rPr>
          <w:rFonts w:ascii="Times New Roman PS Std;serif" w:hAnsi="Times New Roman PS Std;serif"/>
          <w:b w:val="false"/>
          <w:i/>
          <w:caps w:val="false"/>
          <w:smallCaps w:val="false"/>
          <w:sz w:val="20"/>
        </w:rPr>
        <w:t>www.pasqal.com</w:t>
      </w:r>
      <w:r>
        <w:rPr>
          <w:rFonts w:ascii="Times New Roman PS Std;serif" w:hAnsi="Times New Roman PS Std;serif"/>
          <w:b w:val="false"/>
          <w:i w:val="false"/>
          <w:caps w:val="false"/>
          <w:smallCaps w:val="false"/>
          <w:sz w:val="20"/>
        </w:rPr>
        <w:t xml:space="preserve"> as required by applicable SEC and Nasdaq rules. The information on or available through any of such website is not deemed incorporated in this prospectus and does not form part of this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an audit committee charter, which details the principal functions of the audit committee,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independence of the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verifying the rotation of the lead (or coordinating) audit partner having primary responsibility for the audit and the audit partner responsible for reviewing the audit as required by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inquiring and discussing with management our compliance with applicable laws and regulations;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pre-approving all audit services and permitted non-audit services to be performed by our independent registered public accounting firm, including the fees and terms of the services to be performed;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or replacing the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the receipt, retention and treatment of complaints received by us regarding accounting, internal accounting controls or reports which raise material issues regarding our financial statements or accounting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compliance with our Code of Conduct, including reviewing the adequacy and effectiveness of our procedures to ensure proper compliance;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currently consists of Jean Raby, Michael Blitzer and Andrew Gundlach, with Jean Raby serving as chair.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Committee’s responsibilities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making recommendations to the board of directors regarding the compensation of the Company’s non-executive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making recommendations to the Company’s non-executive directors regarding the compensation of executive officers serving on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the compensation of the Company’s senior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changes to the Company’s compensation policy, which governs the compensation of non-executive directors, executive officers and senior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reporting to the board of directors, development and succession plans for the Company’s executive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Company’s equity incentive and benefit plans and human capital management function.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in accordance with applicable regulations and Nasdaq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currently consists of Andrew Gundlach, Barbara Dalibard and Jean Raby, with Andrew Gundlach serving as chair.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Committee’s responsibilities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and recommending nominees for election by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board of directors on its performance;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 changes to the Company’s corporate governance framework and guidelines to the board of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Company’s environmental, social and governance policies and practices.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currently consists of Barbara Dalibard, Michel Combes and Nicolas Berdou, with Barbara Dalibard serving as chair.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Code of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Code of Conduct applicable to our directors, officers and employees, including our principal executive officer, principal financial officer, principal accounting officer or controller, or persons performing similar functions. We seek to conduct business ethically, honestly and in compliance with applicable laws and regulations. Our Code of Conduct sets out the principles and policies designed to guide our business practices with integrity, respect and dedication. Such principles encompass, without limitation, conflicts of interest, corporate opportunities, confidentiality, fair dealing, the protection and proper use of company assets, compliance with laws, rules and regulations, reporting of any illegal or unethical behavior, anti-corruption compliance and public communications. Any waivers of the code for executive officers or directors may be made only by the board of directions, and will be disclosed in a manner consistent with the applicable rules or regulations of the SEC and Nasdaq, when applicable. We expect that any substantive amendments to the Code of Conduct, or any waivers of its requirements, will be disclosed in our annual report on Form 20-F. The Code of Conduct is posted on our website. The information contained on, or that can be accessed through, our website is not part of, and is not incorporated into, this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Insider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our executive officers currently serve, or has served during the last year, as a member of the board of directors or compensation committee of any entity, other than the Company, that has one or more executive officers who also serve as a member of our board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agreements with our directors and executive officers to provide contractual indemnification. With certain exceptions and subject to limitations on indemnification under French law, these agreements provide for indemnification for damages and expenses including, among other things, attorneys’ fees, judgments and settlement amounts incurred by any of these individuals in any action or proceeding arising out of his or her actions in that capacity.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Role of the Board in Risk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primarily responsible for overseeing the Company’s risk management processes on behalf of the board of directors. Going forward, we expect that the audit committee will receive reports from management periodically regarding the Company’s assessment of risks. In addition, the audit committee will report regularly to the board of directors, which also considers the Company’s risk profile. The audit committee and the board of directors will focus on the most significant risks we face and our general risk management strategies. While the board of directors oversees our risk management, management is responsible for day-to-day risk management processes. The board of directors expects management to consider risk and risk management in each business decision, to proactively develop and monitor risk management strategies and processes for day-to-day activities and to effectively implement risk management strategies adopted by the audit committee and the board of directors. We believe this division of responsibilities is the most effective approach for addressing the risks we face and that the board of directors’ leadership structure, which also emphasizes the independence of the board of directors in its oversight of its business and affairs, supports this approach.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13"/>
      <w:bookmarkEnd w:id="12"/>
      <w:r>
        <w:rPr>
          <w:rFonts w:ascii="Times New Roman PS Std;serif" w:hAnsi="Times New Roman PS Std;serif"/>
          <w:b/>
          <w:i w:val="false"/>
          <w:caps w:val="false"/>
          <w:smallCaps w:val="false"/>
          <w:sz w:val="20"/>
        </w:rPr>
        <w:t xml:space="preserve">EXECUTIVE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 the purposes of this section, any reference to “Pasqal” and “Pasqal Holding” refers to Pasqal SAS and Pasqal Holding SAS, respectively, prior to the consummation of the Business Combination.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Historical Corporate Officer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amount expensed with respect to compensation paid, and benefits in kind granted, by Pasqal and its subsidiaries to the members of their respective management bodies for the year ended December 31, 2025, is described in the table below:</w:t>
      </w:r>
    </w:p>
    <w:tbl>
      <w:tblPr>
        <w:tblW w:w="4393" w:type="dxa"/>
        <w:jc w:val="left"/>
        <w:tblInd w:w="0" w:type="dxa"/>
        <w:tblLayout w:type="fixed"/>
        <w:tblCellMar>
          <w:top w:w="0" w:type="dxa"/>
          <w:left w:w="0" w:type="dxa"/>
          <w:bottom w:w="0" w:type="dxa"/>
          <w:right w:w="0" w:type="dxa"/>
        </w:tblCellMar>
      </w:tblPr>
      <w:tblGrid>
        <w:gridCol w:w="3496"/>
        <w:gridCol w:w="146"/>
        <w:gridCol w:w="751"/>
      </w:tblGrid>
      <w:tr>
        <w:trPr/>
        <w:tc>
          <w:tcPr>
            <w:tcW w:w="3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of euros)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benefits: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w:t>
            </w:r>
          </w:p>
        </w:tc>
      </w:tr>
      <w:tr>
        <w:trPr/>
        <w:tc>
          <w:tcPr>
            <w:tcW w:w="34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salaries and allowances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charges on salaries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Post-employment benefits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benefit payments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payments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7,705</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compensation</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table reflects the aggregate amount expensed with respect to historical compensation paid by Pasqal and its subsidiaries for the year ended December 31, 2025 to the corporate officers of Pasqal during fiscal year 2025, The amounts reflected in the above table include annual compensation paid to the foregoing corporate officers in all their capacities, including, in certain instances, as employees or members of management bodies of subsidiaries of Pasqal.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Historical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Wasiq Bokhari, Loïc Henriet and Georges-Olivier Reymond, whose remuneration as corporate officer and/or employees is included in the above section, Pasqal did not pay any compensation to its directors for the year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Historical Variable Compensation for Fiscal Year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 2025, Pasqal did not provide corporate officers with quantitative variable compensation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officers’ variable compensation for the year ended December 31, 2025 is included in the table in the above section entitled “</w:t>
      </w:r>
      <w:r>
        <w:rPr>
          <w:rFonts w:ascii="Times New Roman PS Std;serif" w:hAnsi="Times New Roman PS Std;serif"/>
          <w:b w:val="false"/>
          <w:i/>
          <w:caps w:val="false"/>
          <w:smallCaps w:val="false"/>
          <w:sz w:val="20"/>
        </w:rPr>
        <w:t>Historical Corporate Officer Compensation.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Historical Equity Incentives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directors and corporate officers held the following BSPCEs (both vested and unvested) as of December 31, 2025:</w:t>
      </w:r>
    </w:p>
    <w:tbl>
      <w:tblPr>
        <w:tblW w:w="10205" w:type="dxa"/>
        <w:jc w:val="left"/>
        <w:tblInd w:w="0" w:type="dxa"/>
        <w:tblLayout w:type="fixed"/>
        <w:tblCellMar>
          <w:top w:w="0" w:type="dxa"/>
          <w:left w:w="0" w:type="dxa"/>
          <w:bottom w:w="0" w:type="dxa"/>
          <w:right w:w="0" w:type="dxa"/>
        </w:tblCellMar>
      </w:tblPr>
      <w:tblGrid>
        <w:gridCol w:w="2071"/>
        <w:gridCol w:w="146"/>
        <w:gridCol w:w="1547"/>
        <w:gridCol w:w="146"/>
        <w:gridCol w:w="1696"/>
        <w:gridCol w:w="146"/>
        <w:gridCol w:w="1696"/>
        <w:gridCol w:w="146"/>
        <w:gridCol w:w="1426"/>
        <w:gridCol w:w="146"/>
        <w:gridCol w:w="286"/>
        <w:gridCol w:w="753"/>
      </w:tblGrid>
      <w:tr>
        <w:trPr/>
        <w:tc>
          <w:tcPr>
            <w:tcW w:w="20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Beneficiary</w:t>
            </w:r>
          </w:p>
        </w:tc>
        <w:tc>
          <w:tcPr>
            <w:tcW w:w="146" w:type="dxa"/>
            <w:tcBorders/>
            <w:vAlign w:val="bottom"/>
          </w:tcPr>
          <w:p>
            <w:pPr>
              <w:pStyle w:val="TableContents"/>
              <w:bidi w:val="0"/>
              <w:spacing w:before="0" w:after="283"/>
              <w:jc w:val="left"/>
              <w:rPr/>
            </w:pPr>
            <w:r>
              <w:rPr/>
              <w:t> </w:t>
            </w:r>
          </w:p>
        </w:tc>
        <w:tc>
          <w:tcPr>
            <w:tcW w:w="15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Pool</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 date</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BSPCEs </w:t>
              <w:br/>
              <w:t>outstanding</w:t>
            </w:r>
          </w:p>
        </w:tc>
        <w:tc>
          <w:tcPr>
            <w:tcW w:w="146"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Strike </w:t>
              <w:br/>
              <w:t>price</w:t>
            </w:r>
          </w:p>
        </w:tc>
      </w:tr>
      <w:tr>
        <w:trPr/>
        <w:tc>
          <w:tcPr>
            <w:tcW w:w="207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Mr. Wasiq Bokhari </w:t>
              <w:br/>
            </w:r>
            <w:r>
              <w:rPr>
                <w:rFonts w:ascii="Times New Roman PS Std;serif" w:hAnsi="Times New Roman PS Std;serif"/>
                <w:b w:val="false"/>
                <w:i w:val="false"/>
                <w:caps w:val="false"/>
                <w:smallCaps w:val="false"/>
                <w:sz w:val="20"/>
              </w:rPr>
              <w:t>(Chief Executive Officer)</w:t>
            </w:r>
          </w:p>
        </w:tc>
        <w:tc>
          <w:tcPr>
            <w:tcW w:w="146" w:type="dxa"/>
            <w:tcBorders/>
            <w:shd w:fill="CCEEFF" w:val="clear"/>
          </w:tcPr>
          <w:p>
            <w:pPr>
              <w:pStyle w:val="TableContents"/>
              <w:bidi w:val="0"/>
              <w:spacing w:before="0" w:after="283"/>
              <w:jc w:val="left"/>
              <w:rPr/>
            </w:pPr>
            <w:r>
              <w:rPr/>
              <w:t> </w:t>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 – 2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2035</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286,920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73.17</w:t>
            </w:r>
          </w:p>
        </w:tc>
      </w:tr>
      <w:tr>
        <w:trPr/>
        <w:tc>
          <w:tcPr>
            <w:tcW w:w="20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7"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3" w:type="dxa"/>
            <w:tcBorders/>
          </w:tcPr>
          <w:p>
            <w:pPr>
              <w:pStyle w:val="TableContents"/>
              <w:bidi w:val="0"/>
              <w:spacing w:before="0" w:after="283"/>
              <w:jc w:val="left"/>
              <w:rPr/>
            </w:pPr>
            <w:r>
              <w:rPr/>
              <w:t> </w:t>
            </w:r>
          </w:p>
        </w:tc>
      </w:tr>
      <w:tr>
        <w:trPr/>
        <w:tc>
          <w:tcPr>
            <w:tcW w:w="2071" w:type="dxa"/>
            <w:vMerge w:val="restart"/>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Mr. Loïc Henriet </w:t>
              <w:br/>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w:t>
            </w:r>
          </w:p>
        </w:tc>
        <w:tc>
          <w:tcPr>
            <w:tcW w:w="146" w:type="dxa"/>
            <w:vMerge w:val="restart"/>
            <w:tcBorders/>
            <w:shd w:fill="CCEEFF" w:val="clear"/>
          </w:tcPr>
          <w:p>
            <w:pPr>
              <w:pStyle w:val="TableContents"/>
              <w:bidi w:val="0"/>
              <w:spacing w:before="0" w:after="283"/>
              <w:jc w:val="left"/>
              <w:rPr/>
            </w:pPr>
            <w:r>
              <w:rPr/>
              <w:t> </w:t>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15, 2019</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15, 2029</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r>
      <w:tr>
        <w:trPr/>
        <w:tc>
          <w:tcPr>
            <w:tcW w:w="2071" w:type="dxa"/>
            <w:vMerge w:val="continue"/>
            <w:tcBorders/>
            <w:shd w:fill="CCEEFF" w:val="clear"/>
          </w:tcPr>
          <w:p>
            <w:pPr>
              <w:pStyle w:val="Normal"/>
              <w:bidi w:val="0"/>
              <w:jc w:val="left"/>
              <w:rPr/>
            </w:pPr>
            <w:r>
              <w:rPr/>
            </w:r>
          </w:p>
        </w:tc>
        <w:tc>
          <w:tcPr>
            <w:tcW w:w="146" w:type="dxa"/>
            <w:vMerge w:val="continue"/>
            <w:tcBorders/>
            <w:shd w:fill="CCEEFF" w:val="clear"/>
          </w:tcPr>
          <w:p>
            <w:pPr>
              <w:pStyle w:val="Normal"/>
              <w:bidi w:val="0"/>
              <w:jc w:val="left"/>
              <w:rPr/>
            </w:pPr>
            <w:r>
              <w:rPr/>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24, 2020</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24, 2030</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r>
      <w:tr>
        <w:trPr/>
        <w:tc>
          <w:tcPr>
            <w:tcW w:w="2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7, 2020</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7, 2030</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r>
      <w:tr>
        <w:trPr/>
        <w:tc>
          <w:tcPr>
            <w:tcW w:w="2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 – 1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2035</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138,460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elsewhere in this prospectus, BSPCEs granted before consummation of the Business Combination were assumed by the Company and grant the right to subscribe for Ordinary Shares, with the number of shares adjusted, as applicable, to reflect the Exchange Ratio (the “</w:t>
      </w:r>
      <w:r>
        <w:rPr>
          <w:rFonts w:ascii="Times New Roman PS Std;serif" w:hAnsi="Times New Roman PS Std;serif"/>
          <w:b/>
          <w:i w:val="false"/>
          <w:caps w:val="false"/>
          <w:smallCaps w:val="false"/>
          <w:sz w:val="20"/>
        </w:rPr>
        <w:t>Rollover BSPCEs</w:t>
      </w:r>
      <w:r>
        <w:rPr>
          <w:rFonts w:ascii="Times New Roman PS Std;serif" w:hAnsi="Times New Roman PS Std;serif"/>
          <w:b w:val="false"/>
          <w:i w:val="false"/>
          <w:caps w:val="false"/>
          <w:smallCaps w:val="false"/>
          <w:sz w:val="20"/>
        </w:rPr>
        <w:t xml:space="preserve">”). Each Rollover BSPCE remains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same terms and conditions as were applicable to the BSPCEs as of immediately prior to the Business Combination (including vesting, exercise period, and expiration date), except as otherwise provided by the Business Combination Agreement or except as required by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22 June 2026, Mr. Loïc Henriet exercised his 80,000 2019 BSPCE and received 80,000 shares of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written consultation of Pasqal Holding shareholders initiated on June 23, 2026, Mr. Loïc Henriet contributed his 80,000 shares to Pasqal Holding and received 80,000 shares of Pasqal Holding as remuneration of his contribution.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Closing, and in accordance with the Pasqal Board’s decision and the Pasqal Holding Board’s decision, Mr. Wasiq Bokhari waived his 286,920 Pasqal BSPCEs and received 665,507 Pasqal Holding BSPCEs corresponding to (i) the replacement of 286,920 Pasqal BSPCEs and (ii) the issuance of Tranche 3 BSPCEs approved by the Pasqal Board’s decision and the Pasqal Holding Board’s decision and authorized under the Pasqal Holding Shareholder’s Agreement and under the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Closing, and in accordance with the Pasqal Board’s decision and the Pasqal Holding Board’s decision, Mr. Loïc Henriet waived his 138,460 Pasqal BSPCEs and received 332,753 Pasqal Holding BSPCEs corresponding to (i) the replacement of 138,460 Pasqal BSPCEs and (ii) the issuance of Tranche 3 BSPCEs approved by the Pasqal Board’s decision and the Pasqal Holding Board’s decision and authorized under the Pasqal Holding Shareholder’s Agreement and under the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and prior to Closing, Pasqal’s directors and corporate officers held the following Pasqal Holding BSPCEs (which were exchanged against New Pasqal BSPCEs as a result of the Merger):</w:t>
      </w:r>
    </w:p>
    <w:tbl>
      <w:tblPr>
        <w:tblW w:w="9840" w:type="dxa"/>
        <w:jc w:val="left"/>
        <w:tblInd w:w="0" w:type="dxa"/>
        <w:tblLayout w:type="fixed"/>
        <w:tblCellMar>
          <w:top w:w="0" w:type="dxa"/>
          <w:left w:w="0" w:type="dxa"/>
          <w:bottom w:w="0" w:type="dxa"/>
          <w:right w:w="0" w:type="dxa"/>
        </w:tblCellMar>
      </w:tblPr>
      <w:tblGrid>
        <w:gridCol w:w="2506"/>
        <w:gridCol w:w="146"/>
        <w:gridCol w:w="1276"/>
        <w:gridCol w:w="146"/>
        <w:gridCol w:w="1276"/>
        <w:gridCol w:w="146"/>
        <w:gridCol w:w="1741"/>
        <w:gridCol w:w="146"/>
        <w:gridCol w:w="1426"/>
        <w:gridCol w:w="146"/>
        <w:gridCol w:w="343"/>
        <w:gridCol w:w="542"/>
      </w:tblGrid>
      <w:tr>
        <w:trPr/>
        <w:tc>
          <w:tcPr>
            <w:tcW w:w="25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Beneficiary</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Pool</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 date</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BSPCEs </w:t>
              <w:br/>
              <w:t>outstanding</w:t>
            </w:r>
          </w:p>
        </w:tc>
        <w:tc>
          <w:tcPr>
            <w:tcW w:w="146"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Strike </w:t>
              <w:br/>
              <w:t>price</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Mr. Wasiq Bokhari </w:t>
              <w:br/>
            </w:r>
            <w:r>
              <w:rPr>
                <w:rFonts w:ascii="Times New Roman PS Std;serif" w:hAnsi="Times New Roman PS Std;serif"/>
                <w:b w:val="false"/>
                <w:i w:val="false"/>
                <w:caps w:val="false"/>
                <w:smallCaps w:val="false"/>
                <w:sz w:val="20"/>
              </w:rPr>
              <w:t>(Chief Executive Officer)</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BSPCE</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2026*</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2046</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665,507</w:t>
            </w:r>
          </w:p>
        </w:tc>
        <w:tc>
          <w:tcPr>
            <w:tcW w:w="14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25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2" w:type="dxa"/>
            <w:tcBorders/>
            <w:vAlign w:val="bottom"/>
          </w:tcPr>
          <w:p>
            <w:pPr>
              <w:pStyle w:val="TableContents"/>
              <w:bidi w:val="0"/>
              <w:spacing w:before="0" w:after="283"/>
              <w:jc w:val="left"/>
              <w:rPr/>
            </w:pPr>
            <w:r>
              <w:rPr/>
              <w:t> </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Mr. Loïc Henriet </w:t>
              <w:br/>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BSPCE</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2026**</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2046</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332,753</w:t>
            </w:r>
          </w:p>
        </w:tc>
        <w:tc>
          <w:tcPr>
            <w:tcW w:w="14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It being specified that with respect to the waived 286,920 Pasqal 2025-2 BSPCE, the vesting of Pasqal Holding BSPCEs shall take into account the vested period of Pasqal 2025-2 BSPCE.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It being specified that with respect to the waived 138,460 Pasqal 2025-2 BSPCE, the vesting of Pasqal Holding BSPCEs shall take into account the vested period of Pasqal 2025-2 BSPCE.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 appreciation rights (SARs)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2022, Pasqal has granted stock appreciation rights (the “</w:t>
      </w:r>
      <w:r>
        <w:rPr>
          <w:rFonts w:ascii="Times New Roman PS Std;serif" w:hAnsi="Times New Roman PS Std;serif"/>
          <w:b/>
          <w:i w:val="false"/>
          <w:caps w:val="false"/>
          <w:smallCaps w:val="false"/>
          <w:sz w:val="20"/>
        </w:rPr>
        <w:t>SARs</w:t>
      </w:r>
      <w:r>
        <w:rPr>
          <w:rFonts w:ascii="Times New Roman PS Std;serif" w:hAnsi="Times New Roman PS Std;serif"/>
          <w:b w:val="false"/>
          <w:i w:val="false"/>
          <w:caps w:val="false"/>
          <w:smallCaps w:val="false"/>
          <w:sz w:val="20"/>
        </w:rPr>
        <w:t>”) to its employees and employees of its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SARs are not shares, equity securities, or any form of ownership interest in Pasqal, and do not confer any voting rights or entitlement to dividends. Rather, the SARs constitute a contractual right under which the beneficiaries may, upon the occurrence of certain events specified in the applicable SAR agreements, be entitled to receive a payment, the amount of which is calculated by reference to the increase in value of the relevant underlying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and conditions governing the grant, vesting, and exercise of the SARs, including any triggering events, are set out in the applicable SAR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230,342 SARs remained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SAR agreement was entered into between Pasqal and Mr. Wasiq Bokhari, current Chief Executive Officer (</w:t>
      </w:r>
      <w:r>
        <w:rPr>
          <w:rFonts w:ascii="Times New Roman PS Std;serif" w:hAnsi="Times New Roman PS Std;serif"/>
          <w:b w:val="false"/>
          <w:i/>
          <w:caps w:val="false"/>
          <w:smallCaps w:val="false"/>
          <w:sz w:val="20"/>
        </w:rPr>
        <w:t>Directeur Général</w:t>
      </w:r>
      <w:r>
        <w:rPr>
          <w:rFonts w:ascii="Times New Roman PS Std;serif" w:hAnsi="Times New Roman PS Std;serif"/>
          <w:b w:val="false"/>
          <w:i w:val="false"/>
          <w:caps w:val="false"/>
          <w:smallCaps w:val="false"/>
          <w:sz w:val="20"/>
        </w:rPr>
        <w:t>), pursuant to which he was granted 20,000 SARs. The SARs were granted with a reference price of €74 per SAR for the calculation of payment upon a liquidity event.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SAR agreements were amended by way of an addendum with each beneficiary so that (i) the underlying share used for calculation purposes upon the occurrence of a liquidity event is a share of New Pasqal, and (ii) the liquidity events triggering the payment of the bonus are liquidity events occurring at the level of New Pasqal. All SARs are subject to usual vesting periods (over 4 years) and some of them include, in addition, performance vesting.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form of SAR agreement, concluded in 2025 among Pasqal, a subsidiary of Pasqal that employs the relevant beneficiary, and the beneficiary, provides for SARs granted in tranches that are subject to performance-based vesting conditions, with payment upon a liquidity event claimable against both the employing subsidiary and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further form of SAR agreement, concluded in 2025 between Pasqal and the relevant beneficiary, provides for SARs granted in tranches that are subject to performance-based vesting conditions, cancels and replaces the beneficiary’s initial SAR agreement, and provides for payment upon a liquidity event claimable against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further form of SAR agreement, concluded in 2022 among Pasqal, a subsidiary of Pasqal that employs the relevant beneficiary, and the beneficiary, provides for a single grant of SARs that is not subject to performance-based vesting conditions, with payment upon a liquidity event claimable against both the employing subsidiary and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further form of SAR agreement, concluded in 2025 among Pasqal, a subsidiary of Pasqal that employs the relevant beneficiary, and the beneficiary, provides for a single grant of SARs that is not subject to performance-based vesting conditions, with payment upon a liquidity event claimable against both the employing subsidiary and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further form of SAR agreement, concluded in 2025 between Pasqal and the relevant beneficiary, provides for a single grant of SARs that is not subject to performance-based vesting conditions, cancels and replaces the beneficiary’s initial SAR agreement, and provides for payment upon a liquidity event claimable against Pasqal.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 and Director Compensation Following the Closing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Business Combination, the policies of New Pasqal with respect to the compensation of its executive officers are administered by the Board of Directors, within the limits of any authorization granted by the general meeting of New Pasqal shareholders,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Pasqal Board may utilize the services of third parties from time to time in connection with the recruiting, hiring and determination of compensation awarded to executive employees.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Agreements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Corporate Mandate Agreement of Mr. Wasiq Bokhari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Closing, New Pasqal entered into a Corporate Mandate Agreement (the “</w:t>
      </w:r>
      <w:r>
        <w:rPr>
          <w:rFonts w:ascii="Times New Roman PS Std;serif" w:hAnsi="Times New Roman PS Std;serif"/>
          <w:b/>
          <w:i w:val="false"/>
          <w:caps w:val="false"/>
          <w:smallCaps w:val="false"/>
          <w:sz w:val="20"/>
        </w:rPr>
        <w:t>Bokhari Mandate Agreement</w:t>
      </w:r>
      <w:r>
        <w:rPr>
          <w:rFonts w:ascii="Times New Roman PS Std;serif" w:hAnsi="Times New Roman PS Std;serif"/>
          <w:b w:val="false"/>
          <w:i w:val="false"/>
          <w:caps w:val="false"/>
          <w:smallCaps w:val="false"/>
          <w:sz w:val="20"/>
        </w:rPr>
        <w:t>”) with Mr. Wasiq Bokhari governing the terms and conditions of his appointment as Chief Executive Officer (</w:t>
      </w:r>
      <w:r>
        <w:rPr>
          <w:rFonts w:ascii="Times New Roman PS Std;serif" w:hAnsi="Times New Roman PS Std;serif"/>
          <w:b w:val="false"/>
          <w:i/>
          <w:caps w:val="false"/>
          <w:smallCaps w:val="false"/>
          <w:sz w:val="20"/>
        </w:rPr>
        <w:t>Directeur Général</w:t>
      </w:r>
      <w:r>
        <w:rPr>
          <w:rFonts w:ascii="Times New Roman PS Std;serif" w:hAnsi="Times New Roman PS Std;serif"/>
          <w:b w:val="false"/>
          <w:i w:val="false"/>
          <w:caps w:val="false"/>
          <w:smallCaps w:val="false"/>
          <w:sz w:val="20"/>
        </w:rPr>
        <w:t>). In consideration for the performance of his duties, Mr. Bokhari will receive an annual gross salary of EUR 414,000, payable in twelve equal monthly installments of EUR 34,500. Professional expenses incurred in New Pasqal’s interest are reimbursed upon presentation of supporting documents, in accordance with applicable Company policies. In addition, (i) New Pasqal makes available to Mr. Bokhari a flat in Paris whose monthly rent amounts to EUR 6,950 and (ii) Pasqal Inc. makes available to Mr. Bokhari a flat in New York whose monthly rent amounts to USD 18,000. The Bokhari Mandate Agreement may be terminated under certain circumstances, including, by mutual agreement, for just cause by decision of the shareholders, by resignation of the CEO (subject to a six-month notice period, which may be reduced upon certain conditions) or upon the CEO’s death, incapacity for work or major disability. The Bokhari Mandate Agreement also contains a non-competition undertaking applicable, for a period of twenty-four (24) months following the end of the mandate, in the European Union, Canada and the United States, in consideration for which Mr. Bokhari is entitled to a monthly indemnity equal to 50% of his last fixed monthly remuneration throughout that twenty-four (24)-month period, which New Pasqal may waive by written notice no later than the date of his effective departure.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Corporate Mandate Agreement/employment agreement of Mr. Loïc Henriet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Closing, Pasqal entered into a Corporate Mandate Agreement (the “</w:t>
      </w:r>
      <w:r>
        <w:rPr>
          <w:rFonts w:ascii="Times New Roman PS Std;serif" w:hAnsi="Times New Roman PS Std;serif"/>
          <w:b/>
          <w:i w:val="false"/>
          <w:caps w:val="false"/>
          <w:smallCaps w:val="false"/>
          <w:sz w:val="20"/>
        </w:rPr>
        <w:t>Henriet Mandate Agreement</w:t>
      </w:r>
      <w:r>
        <w:rPr>
          <w:rFonts w:ascii="Times New Roman PS Std;serif" w:hAnsi="Times New Roman PS Std;serif"/>
          <w:b w:val="false"/>
          <w:i w:val="false"/>
          <w:caps w:val="false"/>
          <w:smallCaps w:val="false"/>
          <w:sz w:val="20"/>
        </w:rPr>
        <w:t xml:space="preserve">”) with Mr. Loïc Henriet governing the terms and conditions of his appointment as </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 xml:space="preserve"> of Pasqal. In consideration for the performance of his duties, Mr. Loïc Henriet will receive an annual gross salary of EUR 264,500, payable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twelve equal monthly installments of EUR 22,041.66. Professional expenses incurred in Pasqal’s interest are reimbursed upon presentation of supporting documents, in accordance with applicable Pasqal policies. The Henriet Mandate Agreement may be terminated under certain circumstances, including, by mutual agreement, for just cause by decision of the shareholder of Pasqal, by resignation of the </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 xml:space="preserve"> (subject to a six-month notice period, which may be reduced upon certain conditions) or upon the </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’s death, incapacity for work or major disability. The Henriet Mandate Agreement also contains a non-competition undertaking applicable, for a period of twenty-four (24) months following the end of the mandate, in the European Union, Canada and the United States, in consideration for which Mr. Loïc Henriet is entitled to a monthly indemnity equal to 50% of his last fixed monthly remuneration throughout that twenty-four (24)-month period, which Pasqal may waive by written notice no later than the date of his effective departure.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corporate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may also enter into other corporate officer agreements with its other corporate officers. There are at this time no assurances that any such agreements with New Pasqal will be executed, and if so, what the terms and conditions of any such agreements would be.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shareholders of Bleichroeder approved the adoption of the following equity incentive plans and a delegation of authority to issue warrants: (i) the 2026 Restricted Stock Units Plan (the “</w:t>
      </w:r>
      <w:r>
        <w:rPr>
          <w:rFonts w:ascii="Times New Roman PS Std;serif" w:hAnsi="Times New Roman PS Std;serif"/>
          <w:b/>
          <w:i w:val="false"/>
          <w:caps w:val="false"/>
          <w:smallCaps w:val="false"/>
          <w:sz w:val="20"/>
        </w:rPr>
        <w:t>RSU Incentive Plan</w:t>
      </w:r>
      <w:r>
        <w:rPr>
          <w:rFonts w:ascii="Times New Roman PS Std;serif" w:hAnsi="Times New Roman PS Std;serif"/>
          <w:b w:val="false"/>
          <w:i w:val="false"/>
          <w:caps w:val="false"/>
          <w:smallCaps w:val="false"/>
          <w:sz w:val="20"/>
        </w:rPr>
        <w:t>”), (ii) the 2026 Founder Share Subscription Warrants (BSPCE) program (the “</w:t>
      </w:r>
      <w:r>
        <w:rPr>
          <w:rFonts w:ascii="Times New Roman PS Std;serif" w:hAnsi="Times New Roman PS Std;serif"/>
          <w:b/>
          <w:i w:val="false"/>
          <w:caps w:val="false"/>
          <w:smallCaps w:val="false"/>
          <w:sz w:val="20"/>
        </w:rPr>
        <w:t>BSPCE Incentive Plan</w:t>
      </w:r>
      <w:r>
        <w:rPr>
          <w:rFonts w:ascii="Times New Roman PS Std;serif" w:hAnsi="Times New Roman PS Std;serif"/>
          <w:b w:val="false"/>
          <w:i w:val="false"/>
          <w:caps w:val="false"/>
          <w:smallCaps w:val="false"/>
          <w:sz w:val="20"/>
        </w:rPr>
        <w:t>”), (iii) the 2026 Stock Option Program (the “</w:t>
      </w:r>
      <w:r>
        <w:rPr>
          <w:rFonts w:ascii="Times New Roman PS Std;serif" w:hAnsi="Times New Roman PS Std;serif"/>
          <w:b/>
          <w:i w:val="false"/>
          <w:caps w:val="false"/>
          <w:smallCaps w:val="false"/>
          <w:sz w:val="20"/>
        </w:rPr>
        <w:t>Stock Option Incentive Plan</w:t>
      </w:r>
      <w:r>
        <w:rPr>
          <w:rFonts w:ascii="Times New Roman PS Std;serif" w:hAnsi="Times New Roman PS Std;serif"/>
          <w:b w:val="false"/>
          <w:i w:val="false"/>
          <w:caps w:val="false"/>
          <w:smallCaps w:val="false"/>
          <w:sz w:val="20"/>
        </w:rPr>
        <w:t>,” and together with the RSU Incentive Plan and the BSPCE Incentive Plan, the “</w:t>
      </w:r>
      <w:r>
        <w:rPr>
          <w:rFonts w:ascii="Times New Roman PS Std;serif" w:hAnsi="Times New Roman PS Std;serif"/>
          <w:b/>
          <w:i w:val="false"/>
          <w:caps w:val="false"/>
          <w:smallCaps w:val="false"/>
          <w:sz w:val="20"/>
        </w:rPr>
        <w:t>Incentive Plans</w:t>
      </w:r>
      <w:r>
        <w:rPr>
          <w:rFonts w:ascii="Times New Roman PS Std;serif" w:hAnsi="Times New Roman PS Std;serif"/>
          <w:b w:val="false"/>
          <w:i w:val="false"/>
          <w:caps w:val="false"/>
          <w:smallCaps w:val="false"/>
          <w:sz w:val="20"/>
        </w:rPr>
        <w:t>”) and (iv) a delegation of authority to grant warrants (</w:t>
      </w:r>
      <w:r>
        <w:rPr>
          <w:rFonts w:ascii="Times New Roman PS Std;serif" w:hAnsi="Times New Roman PS Std;serif"/>
          <w:b w:val="false"/>
          <w:i/>
          <w:caps w:val="false"/>
          <w:smallCaps w:val="false"/>
          <w:sz w:val="20"/>
        </w:rPr>
        <w:t>bons de souscription d’actions</w:t>
      </w:r>
      <w:r>
        <w:rPr>
          <w:rFonts w:ascii="Times New Roman PS Std;serif" w:hAnsi="Times New Roman PS Std;serif"/>
          <w:b w:val="false"/>
          <w:i w:val="false"/>
          <w:caps w:val="false"/>
          <w:smallCaps w:val="false"/>
          <w:sz w:val="20"/>
        </w:rPr>
        <w:t>) in accordance with Article L.228-91 et seq. of the French Commercial Code (the “</w:t>
      </w:r>
      <w:r>
        <w:rPr>
          <w:rFonts w:ascii="Times New Roman PS Std;serif" w:hAnsi="Times New Roman PS Std;serif"/>
          <w:b/>
          <w:i w:val="false"/>
          <w:caps w:val="false"/>
          <w:smallCaps w:val="false"/>
          <w:sz w:val="20"/>
        </w:rPr>
        <w:t>Warrant Delegation</w:t>
      </w:r>
      <w:r>
        <w:rPr>
          <w:rFonts w:ascii="Times New Roman PS Std;serif" w:hAnsi="Times New Roman PS Std;serif"/>
          <w:b w:val="false"/>
          <w:i w:val="false"/>
          <w:caps w:val="false"/>
          <w:smallCaps w:val="false"/>
          <w:sz w:val="20"/>
        </w:rPr>
        <w:t>”), with the terms and conditions of Warrants to be decided by the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Legacy Equity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Plans are intended to replace, with respect to future awards, the legacy BSPCE program established by Legacy Pasqal (the “</w:t>
      </w:r>
      <w:r>
        <w:rPr>
          <w:rFonts w:ascii="Times New Roman PS Std;serif" w:hAnsi="Times New Roman PS Std;serif"/>
          <w:b/>
          <w:i w:val="false"/>
          <w:caps w:val="false"/>
          <w:smallCaps w:val="false"/>
          <w:sz w:val="20"/>
        </w:rPr>
        <w:t>Legacy Equity Program</w:t>
      </w:r>
      <w:r>
        <w:rPr>
          <w:rFonts w:ascii="Times New Roman PS Std;serif" w:hAnsi="Times New Roman PS Std;serif"/>
          <w:b w:val="false"/>
          <w:i w:val="false"/>
          <w:caps w:val="false"/>
          <w:smallCaps w:val="false"/>
          <w:sz w:val="20"/>
        </w:rPr>
        <w:t>”). The Legacy Equity Program consisted of several tranches of BSPCEs granted to employees, corporate officers and directors of Legacy Pasqal between 2019 and 2025 pursuant to Article 163 bis G of the French Tax Code, as well as SARs granted to non-French employees beginning in 2022, and stock options granted in connection with the acquisition of Aeponyx in 2024. BSPCEs entitle their holders to subscribe for newly issued shares at an exercise price fixed on the date of grant. SARs are cash-settled contractual rights that do not confer any equity ownership, voting rights or entitlement to dividends. Following the Closing, no additional equity awards will be granted under the Legacy Equity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each Rollover BSPCE was assumed by New Pasqal and grants the right to subscribe for Ordinary Shares, with the number of shares adjusted to reflect the Exchange Ratio. Each Rollover BSPCE remains subject to the same terms and conditions as were applicable to the corresponding BSPCE as of immediately prior to the effective time of the Merger (including vesting, exercise period and expiration date), except as otherwise provided by the French Merger Agreement or as required by applicable law. All outstanding equity awards granted under the Legacy Equity Program immediately prior to the Closing will continue to be settled by New Pasqal and remain subject to the terms and conditions as set forth in the agreements evidencing such equity awards and the terms of the Legacy Equity Program (in each case as may be amended from time to time in accordance with their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RSU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Business Combination, the shareholders of New Pasqal approved the RSU Incentive Plan and the material terms thereunder. The RSU Incentive Plan became effective as of the Closing Date. The purpose of the RSU Incentive Plan is to provide a means whereby New Pasqal can attract new talents and secure and retain the services of existing corporate officers and employees, to provide incentives for such persons to exert maximum efforts for the success of New Pasqal and its affiliates and to provide a means by which such persons may be given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opportunity to benefit from increases in value of Ordinary Shares through the granting of awards under the RSU Incentive Plan. It is essential to New Pasqal’s long-term success that the interests of corporate officers and employees be tied to their success as “owners” of the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features of the RSU Incentive Plan. The summary is qualified in its entirety by reference to the full text of the RSU Incentive Plan, a copy of which is filed hereto as Exhibit 10.12.</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 Incentive Plan is intended to motivate and associate certain corporate officers and employees of New Pasqal, as well as its eligible subsidiaries within the meaning of Article L. 225-197-2 of the French Commercial Code (the “</w:t>
      </w:r>
      <w:r>
        <w:rPr>
          <w:rFonts w:ascii="Times New Roman PS Std;serif" w:hAnsi="Times New Roman PS Std;serif"/>
          <w:b/>
          <w:i w:val="false"/>
          <w:caps w:val="false"/>
          <w:smallCaps w:val="false"/>
          <w:sz w:val="20"/>
        </w:rPr>
        <w:t>New Pasqal Group</w:t>
      </w:r>
      <w:r>
        <w:rPr>
          <w:rFonts w:ascii="Times New Roman PS Std;serif" w:hAnsi="Times New Roman PS Std;serif"/>
          <w:b w:val="false"/>
          <w:i w:val="false"/>
          <w:caps w:val="false"/>
          <w:smallCaps w:val="false"/>
          <w:sz w:val="20"/>
        </w:rPr>
        <w:t>”) to the New Pasqal Group’s growth and to value their active participation to the success of the New Pasqal Group, through their initiative, contributions and performance.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Types of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 Incentive Plan permits the grant of free shares (actions gratuites) granted in accordance with Article L. 225-197-1 of the French Commercial Code (“</w:t>
      </w:r>
      <w:r>
        <w:rPr>
          <w:rFonts w:ascii="Times New Roman PS Std;serif" w:hAnsi="Times New Roman PS Std;serif"/>
          <w:b/>
          <w:i w:val="false"/>
          <w:caps w:val="false"/>
          <w:smallCaps w:val="false"/>
          <w:sz w:val="20"/>
        </w:rPr>
        <w:t>RSUs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 Reserve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adjustments as set forth in the RSU Incentive Plan, the maximum number of Ordinary Shares available for grant under the RSU Incentive Plan is equal to ten percent (10%) of the fully diluted, subject to any limitation applicable in accordance with the French Commercial Code, and as converted, outstanding Ordinary Shares immediately following the Closing, it being specified that this ten percent (10%) limitation is a global limitation shared across the RSU Incentive Plan, the BSPCE Incentive Plan, the Stock Option Incentive Plan, the Warrant Delegation and any equivalent equity incentive instruments under local laws.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Articles L. 225-197-1 et seq. of the French Commercial Code, the RSU Incentive Plan and applicable shareholder authorizations, the Board (the “</w:t>
      </w:r>
      <w:r>
        <w:rPr>
          <w:rFonts w:ascii="Times New Roman PS Std;serif" w:hAnsi="Times New Roman PS Std;serif"/>
          <w:b/>
          <w:i w:val="false"/>
          <w:caps w:val="false"/>
          <w:smallCaps w:val="false"/>
          <w:sz w:val="20"/>
        </w:rPr>
        <w:t>RSU Incentive Plan Administrator</w:t>
      </w:r>
      <w:r>
        <w:rPr>
          <w:rFonts w:ascii="Times New Roman PS Std;serif" w:hAnsi="Times New Roman PS Std;serif"/>
          <w:b w:val="false"/>
          <w:i w:val="false"/>
          <w:caps w:val="false"/>
          <w:smallCaps w:val="false"/>
          <w:sz w:val="20"/>
        </w:rPr>
        <w:t>”) may decide to grant RSUs to any corporate officer or employee of New Pasqal or of one of the New Pasqal Group companies referred to in Article L. 225-197-1 et seq. of the French Commercial Code, as the case may be, that the RSU Incentive Plan Administrator designates. No RSUs may be granted to an eligible participant if such eligible participant already owns more than 10% of New Pasqal’s share capital or if the grant would allow such eligible participant to own more than 10% of New Pasqal’s share capital in accordance with Article L. 225-197-1 of the French Commercial Code (excluding for purposes of this calculation, shares of New Pasqal held by the concerned beneficiary for more than seven (7) years).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 Incentive Plan is administered by the RSU Incentive Plan Administrator. The RSU Incentive Plan Administrator defines the terms of the grant and vesting of RSUs granted under the RSU Incentive Plan. The RSU Incentive Plan Administrator also has the discretionary power to analyze and interpret the terms of the RSU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RSU will be settled in Ordinary Shares after vesting, subject to the terms of the RSU Incentive Plan. The grant of the RSUs will be evidenced by a notice of grant issued by New Pasqal that includes the number of granted RSUs, the grant date, the vesting dates, the duration of the applicable holding period and any obligation binding on a participant.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acceleration provisions under the RSU Incentive Plan, on each of the anniversary dates referred to below (the “</w:t>
      </w:r>
      <w:r>
        <w:rPr>
          <w:rFonts w:ascii="Times New Roman PS Std;serif" w:hAnsi="Times New Roman PS Std;serif"/>
          <w:b/>
          <w:i w:val="false"/>
          <w:caps w:val="false"/>
          <w:smallCaps w:val="false"/>
          <w:sz w:val="20"/>
        </w:rPr>
        <w:t>Anniversary Dates</w:t>
      </w:r>
      <w:r>
        <w:rPr>
          <w:rFonts w:ascii="Times New Roman PS Std;serif" w:hAnsi="Times New Roman PS Std;serif"/>
          <w:b w:val="false"/>
          <w:i w:val="false"/>
          <w:caps w:val="false"/>
          <w:smallCaps w:val="false"/>
          <w:sz w:val="20"/>
        </w:rPr>
        <w:t xml:space="preserve">”), subject to having remained an eligible participant until the relevant Anniversary Date, a participant will have acquired an irrevocable right to receive a percentage of the number of Ordinary Shares set out in the notice of grant, as follows (unless a different vesting schedule is set forth in the applicable notice of grant):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1st anniversary of the grant date: 25% of the RSUs (subject to the applicable holding period); (ii) 2nd anniversary of the grant date: 25% of the RSUs (not subject to any holding period); (iii) 3rd anniversary of the grant date: 25% of the RSUs (not subject to any holding period); and (iv) 4th anniversary of the grant date: 25% of the RSUs (not subject to any holding period). Vested Ordinary Shares underlying RSUs will be delivered to the participant as soon as possible following the applicable Anniversary Dates. The vesting period is at least one (1) year for French participants as from the date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foregoing vesting provisions, a participant will cease to be an eligible participant if the participant is no longer bound to New Pasqal, or to any other company within the New Pasqal Group, by a corporate mandate or an employment contract, for whatever reason, including by reason of death, disability, resignation, dismissal, or voluntary or compulsory retirement. A participant will also cease to be an eligible participant if New Pasqal no longer owns at least 50% of the capital or voting rights of the New Pasqal Group company in which such participant holds a position, unless the RSU Incentive Plan Administrator decides otherwise.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Acceleration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vesting of RSUs will fully accelerate in the event of disability or death; provided that, in the case of death, the participant’s heirs must request the delivery of the Ordinary Shares within six months of the date of the death (after which the RSUs will become null and void). In the case of disability or death, the Ordinary Shares subject to the RSUs will be delivered in advance, even if the event occurs before the 1st anniversary of the grant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all or part of the RSUs granted to a participant may be definitively vested in advance, regardless of any continued service condition, in the event of an express decision to that effect by the RSU Incentive Plan Administrator upon the occurrence of any of the following transactions: (i) sale of ninety-five percent (95%) of the shares of New Pasqal before the last Anniversary Date; (ii) merger by absorption of New Pasqal before the last Anniversary Date at the end of which the shareholders who held control of New Pasqal immediately before the completion of the merger will not hold control of the company benefiting from the merger; (iii) transfer or any other form of assignment before the last Anniversary Date by one or more shareholders of New Pasqal to any person of a number of shares having the effect of conferring on such person more than fifty percent (50%) of the share capital and voting rights of New Pasqal; or (iv) sale of all or substantially all of the assets of New Pasqal before the last Anniversary Date to a third party not controlled, directly or indirectly, by New Pasqal or by the shareholders controlling it, it being provided that, for French participants, the Ordinary Shares underlying any RSUs accelerated pursuant to the foregoing may not be delivered before the first anniversary of the date of grant.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Nontransferability and Holding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RSUs are granted to participants personally, and the rights attached to the RSUs may not be transferred (except in case of death of the participant as provided under the RSU Incentive Plan) or subject to any security interest in any way whatsoever before the applicable vesting date. The Ordinary Shares acquired upon settlement of RSUs cannot be transferred or be subject to any security interest during the applicable holding period. The combined duration of the vesting period and the holding period must be at least equal to two (2) years for French participants as from the date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officers to whom RSUs have been definitively granted in that capacity are required to retain 1% of such RSUs, as from their vesting date and until the termination of their position as corporate officer, in accordance with the terms of Article L. 225-197-1 II of the French Commercial Code, unless a different retention requirement is specified in the applicable notice of grant.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during the vesting period of an RSU grant, New Pasqal is merged or split, a participant will, on the applicable vesting date, receive shares of the surviving entity rather than Ordinary Shares. The number of shares of the surviving entity that will be delivered will depend on the exchange ratio agreed between the parties in the merger or demerger agreement, as the case may be. In the event of financial transactions listed under Article L. 225-181 subsection 2 of the French Commercial Code applying mutatis mutandis to the RSUs occurring during the vesting period and resulting in a modification of the value or number of RSUs initially awarded, the RSU Incentive Plan Administrator, if it deems appropriate, may take all measures to protect the interests and rights of the participants.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and Duration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 Incentive Plan Administrator may grant RSUs under the RSU Incentive Plan during thirty-eight (38) months measured from the shareholder approval date. The RSU Incentive Plan Administrator may at any time make any necessary amendments to the RSU Incentive Plan more favorable to one or more participants which may be necessary, in particular to enable one or more participants or New Pasqal or a New Pasqal Group company to benefit from the preferential tax and/or social security regime applicable in France or in any other countries where the RSU Incentive Plan may apply.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BSPCE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shareholders of New Pasqal approved the BSPCE Incentive Plan and the material terms thereunder. The BSPCE Incentive Plan became effective as of the Closing Date. The purpose of the BSPCE Incentive Plan is to provide a means whereby New Pasqal can attract new talents and secure and retain the services of existing corporate officers, employees and directors, to provide incentives for such persons to exert maximum efforts for the success of New Pasqal and its affiliates and to provide a means by which such persons may be given an opportunity to benefit from increases in value of Ordinary Shares through the granting of awards under the BSPCE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features of the BSPCE Incentive Plan. The summary is qualified in its entirety by reference to the full text of the BSPCE Incentive Plan, a copy of which is filed hereto as Exhibit 10.13.</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BSPCE Incentive Plan is intended to motivate and associate certain corporate officers, employees and directors of New Pasqal and certain eligible subsidiaries of the New Pasqal Group, to the New Pasqal Group’s growth and to value their active participation to the success of the New Pasqal Group, through their initiative, contributions and performance.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Types of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BSPCE Incentive Plan permits the grant of BSPCEs. BSPCEs entitle their holders to subscribe for newly issued Ordinary Shares at a price fixed on the date of grant, thereby enabling participants to benefit from any future increase in New Pasqal’s value.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 Reserve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adjustments as set forth in the BSPCE Incentive Plan, the maximum number of Ordinary Shares available for grant under the BSPCE Incentive Plan is equal to ten percent (10%) of the fully diluted, subject to any limitation applicable in accordance with the French Commercial Code, and as converted, outstanding Ordinary Shares immediately following the Closing, it being specified that this ten percent (10%) limitation is a global limitation shared across the RSU Incentive Plan, the BSPCE Incentive Plan, the Stock Option Incentive Plan, the Warrant Delegation and any equivalent equity incentive instruments under local laws. The Ordinary Shares resulting from the exercise of BSPCEs may be registered or bearer shares at the holder’s choice in accordance with the applicable regulations.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Article 163 bis G of the French Tax Code, BSPCEs may be granted to any individual who is employed by New Pasqal under a French law employment contract (</w:t>
      </w:r>
      <w:r>
        <w:rPr>
          <w:rFonts w:ascii="Times New Roman PS Std;serif" w:hAnsi="Times New Roman PS Std;serif"/>
          <w:b w:val="false"/>
          <w:i/>
          <w:caps w:val="false"/>
          <w:smallCaps w:val="false"/>
          <w:sz w:val="20"/>
        </w:rPr>
        <w:t>contrat de travail</w:t>
      </w:r>
      <w:r>
        <w:rPr>
          <w:rFonts w:ascii="Times New Roman PS Std;serif" w:hAnsi="Times New Roman PS Std;serif"/>
          <w:b w:val="false"/>
          <w:i w:val="false"/>
          <w:caps w:val="false"/>
          <w:smallCaps w:val="false"/>
          <w:sz w:val="20"/>
        </w:rPr>
        <w:t>), regardless of the nature or duration of such contract (whether permanent, fixed-term, full-time or part-time). In a société anonyme, corporate officers and directors eligible for a BSPCE award are (i) executive officers whose compensation is subject to the tax regime applicable to wages and salaries (i.e., chairman of the Board (</w:t>
      </w:r>
      <w:r>
        <w:rPr>
          <w:rFonts w:ascii="Times New Roman PS Std;serif" w:hAnsi="Times New Roman PS Std;serif"/>
          <w:b w:val="false"/>
          <w:i/>
          <w:caps w:val="false"/>
          <w:smallCaps w:val="false"/>
          <w:sz w:val="20"/>
        </w:rPr>
        <w:t>président du conseil d’administration</w:t>
      </w:r>
      <w:r>
        <w:rPr>
          <w:rFonts w:ascii="Times New Roman PS Std;serif" w:hAnsi="Times New Roman PS Std;serif"/>
          <w:b w:val="false"/>
          <w:i w:val="false"/>
          <w:caps w:val="false"/>
          <w:smallCaps w:val="false"/>
          <w:sz w:val="20"/>
        </w:rPr>
        <w:t>), CEO (</w:t>
      </w:r>
      <w:r>
        <w:rPr>
          <w:rFonts w:ascii="Times New Roman PS Std;serif" w:hAnsi="Times New Roman PS Std;serif"/>
          <w:b w:val="false"/>
          <w:i/>
          <w:caps w:val="false"/>
          <w:smallCaps w:val="false"/>
          <w:sz w:val="20"/>
        </w:rPr>
        <w:t>directeur général</w:t>
      </w:r>
      <w:r>
        <w:rPr>
          <w:rFonts w:ascii="Times New Roman PS Std;serif" w:hAnsi="Times New Roman PS Std;serif"/>
          <w:b w:val="false"/>
          <w:i w:val="false"/>
          <w:caps w:val="false"/>
          <w:smallCaps w:val="false"/>
          <w:sz w:val="20"/>
        </w:rPr>
        <w:t>) and deputy CEO (</w:t>
      </w:r>
      <w:r>
        <w:rPr>
          <w:rFonts w:ascii="Times New Roman PS Std;serif" w:hAnsi="Times New Roman PS Std;serif"/>
          <w:b w:val="false"/>
          <w:i/>
          <w:caps w:val="false"/>
          <w:smallCaps w:val="false"/>
          <w:sz w:val="20"/>
        </w:rPr>
        <w:t>directeurs généraux délégués</w:t>
      </w:r>
      <w:r>
        <w:rPr>
          <w:rFonts w:ascii="Times New Roman PS Std;serif" w:hAnsi="Times New Roman PS Std;serif"/>
          <w:b w:val="false"/>
          <w:i w:val="false"/>
          <w:caps w:val="false"/>
          <w:smallCaps w:val="false"/>
          <w:sz w:val="20"/>
        </w:rPr>
        <w:t>)) and (ii) Board members (</w:t>
      </w:r>
      <w:r>
        <w:rPr>
          <w:rFonts w:ascii="Times New Roman PS Std;serif" w:hAnsi="Times New Roman PS Std;serif"/>
          <w:b w:val="false"/>
          <w:i/>
          <w:caps w:val="false"/>
          <w:smallCaps w:val="false"/>
          <w:sz w:val="20"/>
        </w:rPr>
        <w:t>administrateurs</w:t>
      </w:r>
      <w:r>
        <w:rPr>
          <w:rFonts w:ascii="Times New Roman PS Std;serif" w:hAnsi="Times New Roman PS Std;serif"/>
          <w:b w:val="false"/>
          <w:i w:val="false"/>
          <w:caps w:val="false"/>
          <w:smallCaps w:val="false"/>
          <w:sz w:val="20"/>
        </w:rPr>
        <w:t>). BSPCEs may also be granted to employees and directors of companies in which New Pasqal holds, directly or indirectly, at least seventy-five percent (75%) of the share capital or of the voting rights, provided such affiliate satisfies the eligibility conditions under Article 163 bis G of the French Tax Code.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BSPCE Incentive Plan is administered by the Board (</w:t>
      </w:r>
      <w:r>
        <w:rPr>
          <w:rFonts w:ascii="Times New Roman PS Std;serif" w:hAnsi="Times New Roman PS Std;serif"/>
          <w:b w:val="false"/>
          <w:i/>
          <w:caps w:val="false"/>
          <w:smallCaps w:val="false"/>
          <w:sz w:val="20"/>
        </w:rPr>
        <w:t>conseil d’administration</w:t>
      </w:r>
      <w:r>
        <w:rPr>
          <w:rFonts w:ascii="Times New Roman PS Std;serif" w:hAnsi="Times New Roman PS Std;serif"/>
          <w:b w:val="false"/>
          <w:i w:val="false"/>
          <w:caps w:val="false"/>
          <w:smallCaps w:val="false"/>
          <w:sz w:val="20"/>
        </w:rPr>
        <w:t>) (the “</w:t>
      </w:r>
      <w:r>
        <w:rPr>
          <w:rFonts w:ascii="Times New Roman PS Std;serif" w:hAnsi="Times New Roman PS Std;serif"/>
          <w:b/>
          <w:i w:val="false"/>
          <w:caps w:val="false"/>
          <w:smallCaps w:val="false"/>
          <w:sz w:val="20"/>
        </w:rPr>
        <w:t>BSPCE Incentive Plan Administrator</w:t>
      </w:r>
      <w:r>
        <w:rPr>
          <w:rFonts w:ascii="Times New Roman PS Std;serif" w:hAnsi="Times New Roman PS Std;serif"/>
          <w:b w:val="false"/>
          <w:i w:val="false"/>
          <w:caps w:val="false"/>
          <w:smallCaps w:val="false"/>
          <w:sz w:val="20"/>
        </w:rPr>
        <w:t>”). The BSPCE Incentive Plan Administrator has the discretionary power to analyze and interpret the terms of the BSPCE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Vesting and Exercisability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acceleration provisions under the BSPCE Incentive Plan, on each of the vesting dates (the “</w:t>
      </w:r>
      <w:r>
        <w:rPr>
          <w:rFonts w:ascii="Times New Roman PS Std;serif" w:hAnsi="Times New Roman PS Std;serif"/>
          <w:b/>
          <w:i w:val="false"/>
          <w:caps w:val="false"/>
          <w:smallCaps w:val="false"/>
          <w:sz w:val="20"/>
        </w:rPr>
        <w:t>Vesting Dates</w:t>
      </w:r>
      <w:r>
        <w:rPr>
          <w:rFonts w:ascii="Times New Roman PS Std;serif" w:hAnsi="Times New Roman PS Std;serif"/>
          <w:b w:val="false"/>
          <w:i w:val="false"/>
          <w:caps w:val="false"/>
          <w:smallCaps w:val="false"/>
          <w:sz w:val="20"/>
        </w:rPr>
        <w:t>”), subject to having remained an eligible participant until the relevant Vesting Date, BSPCEs will become vested and exercisable with respect to a percentage of the number of BSPCEs set out in the notice of grant, as follows (unless a different vesting schedule (including any vesting schedule imposing performance conditions) is set forth in the applicable notice of grant): (i) 1st anniversary of the vesting start date (which vesting start date will be set forth in the applicable notice of grant or, absent such specification in the notice of grant, the grant date): 25% of the BSPCEs; (ii) 2nd anniversary of the vesting start date: 25% of the BSPCEs; (iii) 3rd anniversary of the vesting start date: 25% of the BSPCEs; and (iv) 4th anniversary of the vesting start date: the balance of the BSPCEs.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per BSPCE is at least equal to the fair market value of an Ordinary Share at the date of grant. The BSPCEs are exercisable within the applicable term set forth in the notice of grant (which, in the absence of specification in the notice of grant, will be twenty (20) years from the date of grant). The exercise price cannot be modified after the date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foregoing vesting provisions, a participant will cease to be an eligible participant if the participant is no longer bound to New Pasqal, or to any other company within the New Pasqal Group, by a corporate mandate or an employment contract, for whatever reason, including by reason of death, disability, resignation, dismissal, or voluntary or compulsory retirement. A participant will also cease to be an eligible participant if New Pasqal no longer owns at least 50% of the capital or voting rights of the New Pasqal Group company in which such participant holds a position, unless the BSPCE Incentive Plan Administrator decides otherwise.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Acceleration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or part of the BSPCEs granted to a participant may be definitively vested and exercisable in advance, regardless of any continued service condition, in the event of an express decision to that effect by the BSPCE Incentive Plan Administrator upon the occurrence of any of the following transactions: (i) sale of ninety-five percent (95%) of the shares of New Pasqal before the exercise of the BSPCEs; (ii) merger by absorption of New Pasqal before the exercise of the BSPCEs at the end of which the shareholders who held control of New Pasqal immediately before the completion of the merger will not hold control of the company benefiting from the merger; (iii) transfer or any other form of assignment before the exercise of the BSPCEs by one or more shareholders of New Pasqal to any person of a number of shares having the effect of conferring on such person more than fifty percent (50%) of the share capital and voting rights of New Pasqal; or (iv) sale of all or substantially all of the assets of New Pasqal before the exercise of the BSPCEs to a third party not controlled, directly or indirectly, by New Pasqal or by the shareholders controlling it. A participant must exercise all of such participant’s exercisable BSPCEs within the five (5) days preceding the completion of one of the foregoing transactions.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Nontransferability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BSPCEs are intuitu personae instruments. They are non-transferable and may only be exercised by the participant to whom they were granted, or by such participant’s heirs within the time period prescribed by law.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Service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extended by decision of the BSPCE Incentive Plan Administrator, a participant will have a period of three (3) months following the applicable departure notification date (or, in the case of permanent incapacity, six (6) months following the applicable departure notification date, or in the case of death, six (6) months following the date of death) to exercise such participant’s exercisable BSPCEs (or, if earlier, until the expiration of the term of the BSPCEs), and in the absence of exercise during such period, the BSPCEs shall automatically become null and void by operation of law. Any BSPCEs that are not exercisable as of the departure notification date or death, as applicable, will be automatically null and void.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prior to the exercise of a BSPCE grant, New Pasqal is merged or split, a participant will, upon exercise of the BSPCEs, receive shares of the surviving entity rather than Ordinary Shares. The number of shares of the surviving entity that will be delivered will depend on the exchange ratio agreed between the parties in the merger or demerger agreement, as the case may be. In the event of financial transactions listed under Article L. 225-181 subsection 2 of the French Commercial Code applying mutatis mutandis to the BSPCEs occurring prior to the exercise of a BSPCE grant and resulting in a modification of the value or number of BSPCEs initially awarded, the BSPCE Incentive Plan Administrator, if it deems appropriate, may take all measures to protect the interests and rights of the participants.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and Duration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BSPCE Incentive Plan Administrator may grant BSPCEs under the BSPCE Incentive Plan for eighteen (18) months measured from the shareholder approval date, subject to the conditions set out in Article 163 bis G of the French Tax Code. The BSPCE Incentive Plan Administrator may at any time make any amendments to the BSPCE Incentive Plan that are more favorable to one or more participants and that may be necessary, in particular, to enable one or more participants, New Pasqal or any New Pasqal Group company to benefit from a preferential tax and/or social security regime applicable in France or in any other jurisdiction in which the BSPCE Incentive Plan may apply. Any amendment to an individual BSPCE award agreement or grant notice that would adversely affect the rights or obligations of the applicable participant may only be made by mutual agreement between the BSPCE Incentive Plan Administrator and such participant.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 Option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shareholders of New Pasqal approved the Stock Option Incentive Plan and the material terms thereunder. The Stock Option Incentive Plan became effective as of the Closing Date. The purpose of the Stock Option Incentive Plan is to provide a means whereby New Pasqal can attract new talents and secure and retain the services of existing corporate officers and employees, to provide incentives for such persons to exert maximum efforts for the success of New Pasqal and its affiliates and to provide a means by which such persons may be given an opportunity to benefit from increases in value of Ordinary Shares through the granting of awards under the Stock Option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features of the Stock Option Incentive Plan. The summary is qualified in its entirety by reference to the full text of the Stock Option Incentive Plan, a copy of which is filed hereto as Exhibit 10.14.</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Option Incentive Plan is intended to motivate and associate certain corporate officers and employees of New Pasqal and certain eligible subsidiaries of the New Pasqal Group, to the New Pasqal Group’s growth and to value their active participation to the success of the New Pasqal Group, through their initiative, contributions and performance.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Types of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Option Incentive Plan permits the grant of stock options in accordance with Articles L. 225-177 et seq. of the French Commercial Code (“</w:t>
      </w:r>
      <w:r>
        <w:rPr>
          <w:rFonts w:ascii="Times New Roman PS Std;serif" w:hAnsi="Times New Roman PS Std;serif"/>
          <w:b/>
          <w:i w:val="false"/>
          <w:caps w:val="false"/>
          <w:smallCaps w:val="false"/>
          <w:sz w:val="20"/>
        </w:rPr>
        <w:t>Stock Options</w:t>
      </w:r>
      <w:r>
        <w:rPr>
          <w:rFonts w:ascii="Times New Roman PS Std;serif" w:hAnsi="Times New Roman PS Std;serif"/>
          <w:b w:val="false"/>
          <w:i w:val="false"/>
          <w:caps w:val="false"/>
          <w:smallCaps w:val="false"/>
          <w:sz w:val="20"/>
        </w:rPr>
        <w:t>”). Stock Options entitle their holders to subscribe for or purchase newly issued Ordinary Shares at a price fixed on the date of grant, thereby enabling participants to benefit from any future increase in New Pasqal’s value.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 Reserve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adjustments as set forth in the Stock Option Incentive Plan, the maximum number of Ordinary Shares available for grant under the Stock Option Incentive Plan is equal to ten percent (10%) of the fully diluted, and as converted, outstanding Ordinary Shares immediately following the Closing, it being specified that this ten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 (10%) limitation is a global limitation shared across the RSU Incentive Plan, the BSPCE Incentive Plan, the Stock Option Incentive Plan, the Warrant Delegation and any equivalent equity incentive instruments under local laws. The Ordinary Shares resulting from the exercise of Stock Options may be registered or bearer shares at the holder’s choice in accordance with the applicable regulations.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Articles L. 225-177 et seq. of the French Commercial Code, Stock Options may be granted to any individual who is employed by New Pasqal under a French law employment contract (</w:t>
      </w:r>
      <w:r>
        <w:rPr>
          <w:rFonts w:ascii="Times New Roman PS Std;serif" w:hAnsi="Times New Roman PS Std;serif"/>
          <w:b w:val="false"/>
          <w:i/>
          <w:caps w:val="false"/>
          <w:smallCaps w:val="false"/>
          <w:sz w:val="20"/>
        </w:rPr>
        <w:t>contrat de travail</w:t>
      </w:r>
      <w:r>
        <w:rPr>
          <w:rFonts w:ascii="Times New Roman PS Std;serif" w:hAnsi="Times New Roman PS Std;serif"/>
          <w:b w:val="false"/>
          <w:i w:val="false"/>
          <w:caps w:val="false"/>
          <w:smallCaps w:val="false"/>
          <w:sz w:val="20"/>
        </w:rPr>
        <w:t>), regardless of the nature or duration of such contract (whether permanent, fixed-term, full-time or part-time). In a société anonyme, corporate officers eligible for a Stock Option award are executive officers whose compensation is subject to the tax regime applicable to wages and salaries (i.e., chairman of the Board (</w:t>
      </w:r>
      <w:r>
        <w:rPr>
          <w:rFonts w:ascii="Times New Roman PS Std;serif" w:hAnsi="Times New Roman PS Std;serif"/>
          <w:b w:val="false"/>
          <w:i/>
          <w:caps w:val="false"/>
          <w:smallCaps w:val="false"/>
          <w:sz w:val="20"/>
        </w:rPr>
        <w:t>président du conseil d’administration</w:t>
      </w:r>
      <w:r>
        <w:rPr>
          <w:rFonts w:ascii="Times New Roman PS Std;serif" w:hAnsi="Times New Roman PS Std;serif"/>
          <w:b w:val="false"/>
          <w:i w:val="false"/>
          <w:caps w:val="false"/>
          <w:smallCaps w:val="false"/>
          <w:sz w:val="20"/>
        </w:rPr>
        <w:t>), CEO (</w:t>
      </w:r>
      <w:r>
        <w:rPr>
          <w:rFonts w:ascii="Times New Roman PS Std;serif" w:hAnsi="Times New Roman PS Std;serif"/>
          <w:b w:val="false"/>
          <w:i/>
          <w:caps w:val="false"/>
          <w:smallCaps w:val="false"/>
          <w:sz w:val="20"/>
        </w:rPr>
        <w:t>directeur général</w:t>
      </w:r>
      <w:r>
        <w:rPr>
          <w:rFonts w:ascii="Times New Roman PS Std;serif" w:hAnsi="Times New Roman PS Std;serif"/>
          <w:b w:val="false"/>
          <w:i w:val="false"/>
          <w:caps w:val="false"/>
          <w:smallCaps w:val="false"/>
          <w:sz w:val="20"/>
        </w:rPr>
        <w:t>) and deputy CEO (</w:t>
      </w:r>
      <w:r>
        <w:rPr>
          <w:rFonts w:ascii="Times New Roman PS Std;serif" w:hAnsi="Times New Roman PS Std;serif"/>
          <w:b w:val="false"/>
          <w:i/>
          <w:caps w:val="false"/>
          <w:smallCaps w:val="false"/>
          <w:sz w:val="20"/>
        </w:rPr>
        <w:t>directeurs généraux délégués</w:t>
      </w:r>
      <w:r>
        <w:rPr>
          <w:rFonts w:ascii="Times New Roman PS Std;serif" w:hAnsi="Times New Roman PS Std;serif"/>
          <w:b w:val="false"/>
          <w:i w:val="false"/>
          <w:caps w:val="false"/>
          <w:smallCaps w:val="false"/>
          <w:sz w:val="20"/>
        </w:rPr>
        <w:t>)). Subject to the provisions of Articles L. 225-180 and L. 225-185 of the French Commercial Code, Stock Options may also be granted to employees and corporate officers of companies in which New Pasqal holds, directly or indirectly, at least ten percent (10%) of the share capital or of the voting rights.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Option Incentive Plan is administered by the Board (</w:t>
      </w:r>
      <w:r>
        <w:rPr>
          <w:rFonts w:ascii="Times New Roman PS Std;serif" w:hAnsi="Times New Roman PS Std;serif"/>
          <w:b w:val="false"/>
          <w:i/>
          <w:caps w:val="false"/>
          <w:smallCaps w:val="false"/>
          <w:sz w:val="20"/>
        </w:rPr>
        <w:t>conseil d’administration</w:t>
      </w:r>
      <w:r>
        <w:rPr>
          <w:rFonts w:ascii="Times New Roman PS Std;serif" w:hAnsi="Times New Roman PS Std;serif"/>
          <w:b w:val="false"/>
          <w:i w:val="false"/>
          <w:caps w:val="false"/>
          <w:smallCaps w:val="false"/>
          <w:sz w:val="20"/>
        </w:rPr>
        <w:t>) (the “</w:t>
      </w:r>
      <w:r>
        <w:rPr>
          <w:rFonts w:ascii="Times New Roman PS Std;serif" w:hAnsi="Times New Roman PS Std;serif"/>
          <w:b/>
          <w:i w:val="false"/>
          <w:caps w:val="false"/>
          <w:smallCaps w:val="false"/>
          <w:sz w:val="20"/>
        </w:rPr>
        <w:t>Stock Option Incentive Plan Administrator</w:t>
      </w:r>
      <w:r>
        <w:rPr>
          <w:rFonts w:ascii="Times New Roman PS Std;serif" w:hAnsi="Times New Roman PS Std;serif"/>
          <w:b w:val="false"/>
          <w:i w:val="false"/>
          <w:caps w:val="false"/>
          <w:smallCaps w:val="false"/>
          <w:sz w:val="20"/>
        </w:rPr>
        <w:t>”). The Stock Option Incentive Plan Administrator has the discretionary power to analyze and interpret the terms of the Stock Option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Vesting and Exercisability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acceleration provisions under the Stock Option Incentive Plan, on each of the vesting dates (the “</w:t>
      </w:r>
      <w:r>
        <w:rPr>
          <w:rFonts w:ascii="Times New Roman PS Std;serif" w:hAnsi="Times New Roman PS Std;serif"/>
          <w:b/>
          <w:i w:val="false"/>
          <w:caps w:val="false"/>
          <w:smallCaps w:val="false"/>
          <w:sz w:val="20"/>
        </w:rPr>
        <w:t>Vesting Dates</w:t>
      </w:r>
      <w:r>
        <w:rPr>
          <w:rFonts w:ascii="Times New Roman PS Std;serif" w:hAnsi="Times New Roman PS Std;serif"/>
          <w:b w:val="false"/>
          <w:i w:val="false"/>
          <w:caps w:val="false"/>
          <w:smallCaps w:val="false"/>
          <w:sz w:val="20"/>
        </w:rPr>
        <w:t>”), subject to having remained an eligible participant until the relevant Vesting Date, Stock Options will become vested and exercisable with respect to a percentage of the number of Stock Options set out in the notice of grant, as follows (unless a different vesting schedule (including any vesting schedule imposing performance conditions) is set forth in the applicable notice of grant): (i) 1st anniversary of the vesting start date (which vesting start date will be set forth in the applicable notice of grant or, absent such specification in the notice of grant, the grant date): 25% of the Stock Options; (ii) 2nd anniversary of the vesting start date: 25% of the Stock Options; (iii) 3rd anniversary of the vesting start date: 25% of the Stock Options; and (iv) 4th anniversary of the vesting start date: the balance of the Stock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per Stock Option is at least equal to the fair market value of an Ordinary Share at the date of grant. The Stock Options are exercisable within the applicable term set forth in the notice of grant (which, in the absence of specification in the notice of grant, will be twenty (20) years from the date of grant). The exercise price cannot be modified after the date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foregoing vesting provisions, a participant will cease to be an eligible participant if the participant is no longer bound to New Pasqal, or to any other company within the New Pasqal Group, by a corporate mandate or an employment contract, for whatever reason, including by reason of death, disability, resignation, dismissal, or voluntary or compulsory retirement. A participant will also cease to be an eligible participant if New Pasqal no longer owns at least 50% of the capital or voting rights of the New Pasqal Group company in which such participant holds a position, unless the Stock Option Incentive Plan Administrator decides otherwise.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Acceleration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or part of the Stock Options granted to a participant may be definitively vested and exercisable in advance, regardless of any continued service condition, in the event of an express decision to that effect by the Stock Option Incentive Plan Administrator upon the occurrence of any of the following transactions: (i) sale of ninety-five percent (95%) of the shares of New Pasqal before the exercise of the Stock Options; (ii) merger by absorption of New Pasqal before the exercise of the Stock Options at the end of which the shareholders who held control of New Pasqal immediately before the completion of the merger will not hold control of the company benefiting from the merger; (iii) transfer or any other form of assignment before the exercise of the Stock Options by one or more shareholders of New Pasqal to any person of a number of shares having the effect of conferring on such person more than fifty percent (50%) of the share capital and voting rights of New Pasqal; or (iv) sale of all or substantially all of the assets of New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before the exercise of the Stock Options to a third party not controlled, directly or indirectly, by New Pasqal or by the shareholders controlling it. A participant must exercise all of such participant’s exercisable Stock Options within the five (5) days preceding the completion of one of the foregoing transactions.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Nontransferability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 are non-transferable and may only be exercised by the participant to whom they were granted, or by such participant’s heirs within the time period prescribed by law.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Service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extended by decision of the Stock Option Incentive Plan Administrator, a participant will have a period of three (3) months following the applicable departure notification date (or, in the case of permanent incapacity, six (6) months following the applicable departure notification date, or in the case of death, six (6) months following the date of death) to exercise such participant’s exercisable Stock Options (or, if earlier, until the expiration of the term of the Stock Options), and in the absence of exercise during such period, the Stock Options shall automatically become null and void by operation of law. Any Stock Options that are not exercisable as of the departure notification date or death, as applicable, will be automatically null and void.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Holding Period for Corporate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Article L. 225-185 of the French Commercial Code, the Stock Option Incentive Plan Administrator shall indicate in the applicable notice of grant for corporate officers to whom Stock Options have been granted in such capacity whether the Stock Options may not be exercised by such participant prior to the termination of their duties, or shall determine the number of Ordinary Shares resulting from exercise of the Stock Options that they are required to retain in registered form until the termination of their duties. In the absence of any mention in the applicable notice of grant, in case of exercise of the Stock Options, corporate officers will be required to retain a number of Ordinary Shares equal to 1% of the granted Stock Options, until the termination of their duties as corporate officer.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prior to the exercise of a Stock Option grant, New Pasqal is merged or split, a participant will, upon exercise of the Stock Options, receive shares of the surviving entity rather than Ordinary Shares. The number of shares of the surviving entity that will be delivered will depend on the exchange ratio agreed between the parties in the merger or demerger agreement, as the case may be. In the event of financial transactions listed under Article L. 225-181 subsection 2 of the French Commercial Code occurring prior to the exercise of a Stock Option grant and resulting in a modification of the value or number of Stock Options initially awarded, the Stock Option Incentive Plan Administrator, if it deems appropriate, may take all measures to protect the interests and rights of the participants.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and Duration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Option Incentive Plan Administrator may grant Stock Options under the Stock Option Incentive Plan for thirty-eight (38) months measured from the shareholder approval date. A Stock Option agreement may only be modified by mutual agreement between the Stock Option Incentive Plan Administrator and the applicable participant.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 Delegation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Warrant Delegation is to provide a means by which warrants can be granted to certain persons, including consultants or advisors of New Pasqal, who are not otherwise eligible for grants under the RSU Incentive Plan, the BSPCE Incentive Plan or the Stock Option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adjustments as set forth in the Warrant Delegation, the maximum number of Ordinary Shares available for grant under the Warrant Delegation is equal to ten percent (10%) of the fully diluted, and as converted, outstanding Ordinary Shares immediately following the Closing, it being specified that this ten percent (10%) limitation is a global limitation shared across the RSU Incentive Plan, the BSPCE Incentive Plan, the Stock Option Incentive Plan, the Warrant Delegation and any equivalent equity incentive instruments under local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 Delegation permits the grant of warrants (bons de souscription d’actions) granted in accordance with article L.228-91 et seq. of the French Commercial Code (“</w:t>
      </w:r>
      <w:r>
        <w:rPr>
          <w:rFonts w:ascii="Times New Roman PS Std;serif" w:hAnsi="Times New Roman PS Std;serif"/>
          <w:b/>
          <w:i w:val="false"/>
          <w:caps w:val="false"/>
          <w:smallCaps w:val="false"/>
          <w:sz w:val="20"/>
        </w:rPr>
        <w:t>Warrants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do not benefit from any specific favorable tax and social security contributions regime under French law. Beneficiaries are urged to consult their own tax and social security contributions advisors. It should be noted that the Finance Act for 2025 introduced a new regime applicable to management packages, which is not detailed in the present document. In principle, this regime may, subject to certain conditions, apply to gains relating to the Warrants, including upon the disposal of the shares acquired through the exercise of the Warrants. Accordingly, its application should be assessed on a case-by-case basis. This new regime may also have tax and social security implications for both the beneficiary and the employer.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and conditions applicable to the Warrants, granted under the Warrant Delegation, will be decided and approved by New Pasqal’s Board (</w:t>
      </w:r>
      <w:r>
        <w:rPr>
          <w:rFonts w:ascii="Times New Roman PS Std;serif" w:hAnsi="Times New Roman PS Std;serif"/>
          <w:b w:val="false"/>
          <w:i/>
          <w:caps w:val="false"/>
          <w:smallCaps w:val="false"/>
          <w:sz w:val="20"/>
        </w:rPr>
        <w:t>conseil d’administration</w:t>
      </w:r>
      <w:r>
        <w:rPr>
          <w:rFonts w:ascii="Times New Roman PS Std;serif" w:hAnsi="Times New Roman PS Std;serif"/>
          <w:b w:val="false"/>
          <w:i w:val="false"/>
          <w:caps w:val="false"/>
          <w:smallCaps w:val="false"/>
          <w:sz w:val="20"/>
        </w:rPr>
        <w:t>) in accordance with the Warrant Delegation.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14"/>
      <w:bookmarkEnd w:id="13"/>
      <w:r>
        <w:rPr>
          <w:rFonts w:ascii="Times New Roman PS Std;serif" w:hAnsi="Times New Roman PS Std;serif"/>
          <w:b/>
          <w:i w:val="false"/>
          <w:caps w:val="false"/>
          <w:smallCaps w:val="false"/>
          <w:sz w:val="20"/>
        </w:rPr>
        <w:t xml:space="preserve">CERTAIN RELATIONSHIPS AND RELATED PERSON TRANSACTIONS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A&amp;R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the RRA Parties entered into the amended and restated registration rights agreement (the “</w:t>
      </w:r>
      <w:r>
        <w:rPr>
          <w:rFonts w:ascii="Times New Roman PS Std;serif" w:hAnsi="Times New Roman PS Std;serif"/>
          <w:b/>
          <w:i w:val="false"/>
          <w:caps w:val="false"/>
          <w:smallCaps w:val="false"/>
          <w:sz w:val="20"/>
        </w:rPr>
        <w:t>A&amp;R Registration Rights Agreement</w:t>
      </w:r>
      <w:r>
        <w:rPr>
          <w:rFonts w:ascii="Times New Roman PS Std;serif" w:hAnsi="Times New Roman PS Std;serif"/>
          <w:b w:val="false"/>
          <w:i w:val="false"/>
          <w:caps w:val="false"/>
          <w:smallCaps w:val="false"/>
          <w:sz w:val="20"/>
        </w:rPr>
        <w:t>”), which amended and restated the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A&amp;R Registration Rights Agreement provides for, among other things,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Shelf registration rights</w:t>
      </w:r>
      <w:r>
        <w:rPr>
          <w:rFonts w:ascii="Times New Roman PS Std;serif" w:hAnsi="Times New Roman PS Std;serif"/>
          <w:b w:val="false"/>
          <w:i w:val="false"/>
          <w:caps w:val="false"/>
          <w:smallCaps w:val="false"/>
          <w:sz w:val="20"/>
        </w:rPr>
        <w:t>:    No later than thirty (30) business days following the Closing, New Pasqal will file a Resale Shelf Registration Statement registering all of the Registrable Securities (as defined in the A&amp;R Registration Rights Agreement). New Pasqal will use commercially reasonable efforts to cause the Resale Shelf Registration Statement to be declared effective as soon as practicable after filing thereof, but in no event later than the earlier of (i) the 90th calendar day (or the 120th calendar day if the SEC notifies New Pasqal that it will “review” the Resale Shelf Registration Statement) after the Closing Date and (ii) the tenth (10th) Business Day (as defined in the A&amp;R Registration Rights Agreement) after the date New Pasqal is notified (orally or in writing, whichever is earlier) by the SEC that such Shelf Registration Statement will not be “reviewed” or will not be subject to further review. Subject to certain customary exceptions, at any time and from time to time, holders with registration rights having a reasonably anticipated gross aggregate offering price of at least $25,000,000 of the then-outstanding Registrable Securities may make a written demand for underwritten and other shelf take-downs.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Demand registration rights</w:t>
      </w:r>
      <w:r>
        <w:rPr>
          <w:rFonts w:ascii="Times New Roman PS Std;serif" w:hAnsi="Times New Roman PS Std;serif"/>
          <w:b w:val="false"/>
          <w:i w:val="false"/>
          <w:caps w:val="false"/>
          <w:smallCaps w:val="false"/>
          <w:sz w:val="20"/>
        </w:rPr>
        <w:t>:    At any time and from time to time, holders with registration rights having a reasonably anticipated gross aggregate offering price of at least $25,000,000 of the then-outstanding Registrable Securities may make a written demand for registration of all or part of their Registrable Securities, provided that, among certain other limitations, the securities of such RRA Parties are not subject to lock up and no resale shelf registration statement for such securities is then effective. Upon receipt of such demand, New Pasqal will be required to file a registration statement covering all or any portion of the RRA Parties’ Registrable Securities (as defined therein) requested to be included, including, under certain circumstances, the offering of such Registrable Securities (as defined therein) in the form of an underwritten offering.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caps w:val="false"/>
          <w:smallCaps w:val="false"/>
          <w:u w:val="single"/>
        </w:rPr>
        <w:t>“</w:t>
      </w:r>
      <w:r>
        <w:rPr>
          <w:rFonts w:ascii="Times New Roman PS Std;serif" w:hAnsi="Times New Roman PS Std;serif"/>
          <w:b w:val="false"/>
          <w:i w:val="false"/>
          <w:caps w:val="false"/>
          <w:smallCaps w:val="false"/>
          <w:sz w:val="20"/>
          <w:u w:val="single"/>
        </w:rPr>
        <w:t>Piggy-back” registration rights</w:t>
      </w:r>
      <w:r>
        <w:rPr>
          <w:rFonts w:ascii="Times New Roman PS Std;serif" w:hAnsi="Times New Roman PS Std;serif"/>
          <w:b w:val="false"/>
          <w:i w:val="false"/>
          <w:caps w:val="false"/>
          <w:smallCaps w:val="false"/>
          <w:sz w:val="20"/>
        </w:rPr>
        <w:t>:    Pursuant to the Securities Act and subject to certain customary exceptions (including underwriter cutbacks), at any time after the Closing, if New Pasqal proposes to file a registration statement with respect to an offering of its equity securities, or securities or other obligations exercisable or exchangeable for, or convertible into, equity securities, for New Pasqal’s own account or for the account of the shareholders of New Pasqal, then New Pasqal will (i) notify the holders of Registrable Securities of such offering as soon as possible but not less than ten (10) days before the anticipated filing of such registration statement, and (ii) offer such holders the opportunity to include in such registration statement (including any underwritten offering) register the sale of such number of Registrable Securities that such holders may request in writing within five (5) days following receipt of notice from New Pasqal.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Expenses and indemnification</w:t>
      </w:r>
      <w:r>
        <w:rPr>
          <w:rFonts w:ascii="Times New Roman PS Std;serif" w:hAnsi="Times New Roman PS Std;serif"/>
          <w:b w:val="false"/>
          <w:i w:val="false"/>
          <w:caps w:val="false"/>
          <w:smallCaps w:val="false"/>
          <w:sz w:val="20"/>
        </w:rPr>
        <w:t>:    All fees, costs and expenses of registrations and transfers will be borne by New Pasqal in accordance with the A&amp;R Registration Rights Agreement and underwriting discounts and selling commissions and certain other fees attributable to the Registrable Securities will be borne by the holders selling or transferring such Registrable Securities. The reasonable and documented fees and out-of-pocket expenses of one counsel for all of the holders participating in an underwritten offering shall be reimbursed by New Pasqal, provided that such reimbursable fees and expenses of counsel shall not exceed $50,000 per registration. The A&amp;R Registration Rights Agreement will contain customary cross-indemnification provisions, under which New Pasqal is obligated to indemnify holders of Registrable Securities (as defined therein) in the event of material misstatements or omissions in the applicable registration statement attributable to New Pasqal, and holders of Registrable Securities are obligated to indemnify New Pasqal for material misstatements or omissions attributable to them.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Registrable Securities and Term</w:t>
      </w:r>
      <w:r>
        <w:rPr>
          <w:rFonts w:ascii="Times New Roman PS Std;serif" w:hAnsi="Times New Roman PS Std;serif"/>
          <w:b w:val="false"/>
          <w:i w:val="false"/>
          <w:caps w:val="false"/>
          <w:smallCaps w:val="false"/>
          <w:sz w:val="20"/>
        </w:rPr>
        <w:t xml:space="preserve">:    Securities of New Pasqal will cease to be Registrable Securities (as defined therein) when (a) such Registrable Securities have been sold, transferred, disposed of or exchanged in accordance with the plan of distribution set forth in a registration statement that covers such Registrable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(b) such Registrable Securities shall have ceased to be outstanding; (c) such Registrable Securities have been sold to, or through, a broker, dealer or Underwriter in a public distribution or other public securities transaction; (d) such Registrable Securities shall have been otherwise transferred by a holder, a new certificate or book-entry for such security not bearing a legend restricting further transfer shall have been delivered by New Pasqal and subsequent public distribution of such security shall not require registration under the Securities Act; or (e) such Registrable Securities are eligible for resale without registration pursuant to Rule 144 under the Securities Act (or any successor rule promulgated thereafter by the SEC) without volume or manner-of-sale restrictions and without the requirement for New Pasqal to be in compliance with the current public information required by Rule 144(i)(2) under the Securities Act. Registration Rights under the A&amp;R Registration Rights Agreement will terminate on the earlier of (i) the fifth (5th) anniversary of the date of the A&amp;R Registration Rights Agreement and (ii) with respect to any holder of Registrable Securities, the date on which such holder no longer holds Registrable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Liquidated Damages</w:t>
      </w:r>
      <w:r>
        <w:rPr>
          <w:rFonts w:ascii="Times New Roman PS Std;serif" w:hAnsi="Times New Roman PS Std;serif"/>
          <w:b w:val="false"/>
          <w:i w:val="false"/>
          <w:caps w:val="false"/>
          <w:smallCaps w:val="false"/>
          <w:sz w:val="20"/>
        </w:rPr>
        <w:t>:    Subject to certain exceptions, if (A) the Shelf Registration Statement has not been filed by the Filing Deadline (as defined in the A&amp;R Registration Rights Agreement), (B) the Shelf Registration Statement has not been declared effective by the Effectiveness Deadline (as defined in the A&amp;R Registration Rights Agreement), or (C) at any time on or after the Effectiveness Deadline the Shelf Registration Statement (or any subsequent Shelf Registration Statement covering Registrable Securities) ceases to be effective or unusable for the public resale of Registrable Securities for more than fifteen (15) consecutive Business Days or for more than an aggregate of forty-five (45) Business Days in any twelve (12) month period (each such event, a “</w:t>
      </w:r>
      <w:r>
        <w:rPr>
          <w:rFonts w:ascii="Times New Roman PS Std;serif" w:hAnsi="Times New Roman PS Std;serif"/>
          <w:b/>
          <w:i w:val="false"/>
          <w:caps w:val="false"/>
          <w:smallCaps w:val="false"/>
          <w:sz w:val="20"/>
        </w:rPr>
        <w:t>Registration Default</w:t>
      </w:r>
      <w:r>
        <w:rPr>
          <w:rFonts w:ascii="Times New Roman PS Std;serif" w:hAnsi="Times New Roman PS Std;serif"/>
          <w:b w:val="false"/>
          <w:i w:val="false"/>
          <w:caps w:val="false"/>
          <w:smallCaps w:val="false"/>
          <w:sz w:val="20"/>
        </w:rPr>
        <w:t>”), then, as liquidated damages and not as a penalty, New Pasqal shall pay to each Investor an amount in cash (the “</w:t>
      </w:r>
      <w:r>
        <w:rPr>
          <w:rFonts w:ascii="Times New Roman PS Std;serif" w:hAnsi="Times New Roman PS Std;serif"/>
          <w:b/>
          <w:i w:val="false"/>
          <w:caps w:val="false"/>
          <w:smallCaps w:val="false"/>
          <w:sz w:val="20"/>
        </w:rPr>
        <w:t>Liquidated Damages</w:t>
      </w:r>
      <w:r>
        <w:rPr>
          <w:rFonts w:ascii="Times New Roman PS Std;serif" w:hAnsi="Times New Roman PS Std;serif"/>
          <w:b w:val="false"/>
          <w:i w:val="false"/>
          <w:caps w:val="false"/>
          <w:smallCaps w:val="false"/>
          <w:sz w:val="20"/>
        </w:rPr>
        <w:t>”) equal to 1.00% of the aggregate amount paid pursuant to the SPA by such Investor for its securities thereunder then held by such Investor for each 30-day period or pro rata for any portion thereof during which the failure continues; provided that such Liquidated Damages to any Investor may not exceed, in the aggregate, 7.5% of the aggregate purchase price paid by such Investor to New Pasqal under the SPA.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form of the A&amp;R Registration Rights Agreement is attached to this prospectus as Exhibit 10.4.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Business Combination Agreement, Bleichroeder, Merger Sub and certain investors entered into a securities purchase agreement dated as of March 4, 2026 and as amended on May 23, 2026, pursuant to which Investors agreed, among other things subject to certain conditions, to subscribe $312.5 million aggregate principal amount of senior unsecured convertible bonds convertible into New Pasqal Ordinary Shares and receive warrants to subscribe up to a number of New Pasqal Ordinary Shares equal to 125% of the total number of New Pasqal Ordinary Shares into which the Senior Unsecured Convertible Bonds are initially convertible at an exercise price of $12.00 per New Pasqal Ordinary Share, subject to adjustments provided in the March 2026 SPA at the closing of the Business Combination, for an aggregate subscription price of $250.0 million, reflecting a 20% original issue discount in a private placement. Each of the Investment Warrants are immediately exercisable upon issuance and will expire five years from the date of Closing. The closing of the Investment occurred substantially concurrent with the Closing. In accordance with the French Commercial Code, the Senior Unsecured Convertible Bonds were issued pursuant to the Terms and Conditions (</w:t>
      </w:r>
      <w:r>
        <w:rPr>
          <w:rFonts w:ascii="Times New Roman PS Std;serif" w:hAnsi="Times New Roman PS Std;serif"/>
          <w:b w:val="false"/>
          <w:i/>
          <w:caps w:val="false"/>
          <w:smallCaps w:val="false"/>
          <w:sz w:val="20"/>
        </w:rPr>
        <w:t>termes et conditions des obligations convertibles en actions ordinaires</w:t>
      </w:r>
      <w:r>
        <w:rPr>
          <w:rFonts w:ascii="Times New Roman PS Std;serif" w:hAnsi="Times New Roman PS Std;serif"/>
          <w:b w:val="false"/>
          <w:i w:val="false"/>
          <w:caps w:val="false"/>
          <w:smallCaps w:val="false"/>
          <w:sz w:val="20"/>
        </w:rPr>
        <w:t>) attached to New Pasqal’s shareholders decision issuing the Senior Unsecured Convertible Bonds, and the Investment Warrants were issued pursuant to the Terms and Conditions (</w:t>
      </w:r>
      <w:r>
        <w:rPr>
          <w:rFonts w:ascii="Times New Roman PS Std;serif" w:hAnsi="Times New Roman PS Std;serif"/>
          <w:b w:val="false"/>
          <w:i/>
          <w:caps w:val="false"/>
          <w:smallCaps w:val="false"/>
          <w:sz w:val="20"/>
        </w:rPr>
        <w:t>termes et conditions des bons de souscriptions d’actions</w:t>
      </w:r>
      <w:r>
        <w:rPr>
          <w:rFonts w:ascii="Times New Roman PS Std;serif" w:hAnsi="Times New Roman PS Std;serif"/>
          <w:b w:val="false"/>
          <w:i w:val="false"/>
          <w:caps w:val="false"/>
          <w:smallCaps w:val="false"/>
          <w:sz w:val="20"/>
        </w:rPr>
        <w:t>) attached to New Pasqal’s shareholders decision issuing the Investment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Bpifrance Large Venture, one of Legacy Pasqal’s investors and an entity with representation on the New Pasqal Board, participated in the March 2026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Ranking:    </w:t>
      </w:r>
      <w:r>
        <w:rPr>
          <w:rFonts w:ascii="Times New Roman PS Std;serif" w:hAnsi="Times New Roman PS Std;serif"/>
          <w:b w:val="false"/>
          <w:i w:val="false"/>
          <w:caps w:val="false"/>
          <w:smallCaps w:val="false"/>
          <w:sz w:val="20"/>
        </w:rPr>
        <w:t>The Senior Unsecured Convertible Bonds shall rank senior to the New Pasqal Ordinary Shares and any other class or series of capital stock of New Pasqal currently existing or hereafter authorized, classified or reclassified by New Pasqal, and junior and subordinated to other unsecured and unsubordinated obligations of New Pasqal.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Bondholders Representative:    </w:t>
      </w:r>
      <w:r>
        <w:rPr>
          <w:rFonts w:ascii="Times New Roman PS Std;serif" w:hAnsi="Times New Roman PS Std;serif"/>
          <w:b w:val="false"/>
          <w:i w:val="false"/>
          <w:caps w:val="false"/>
          <w:smallCaps w:val="false"/>
          <w:sz w:val="20"/>
        </w:rPr>
        <w:t>Holders of the Senior Unsecured Convertible Bonds shall be organized as Masse. The Masse shall be governed by the provisions of the French Code de commerce and will act in part through a bondholders representative (representant de la masse) and in part through collective decisions of the Convertible Bondholders, whether by general meetings or written consultations as permitted under Article L. 228-46-1 of the French Commercial Code. Any reasonable and documented costs or expenses incurred by the holders of the Senior Unsecured Convertible Bonds in connection with the operation and consultation of the Masse shall be reimbursed by New Pasqal upon presentation of the relevant invoices.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Interest Payments:    </w:t>
      </w:r>
      <w:r>
        <w:rPr>
          <w:rFonts w:ascii="Times New Roman PS Std;serif" w:hAnsi="Times New Roman PS Std;serif"/>
          <w:b w:val="false"/>
          <w:i w:val="false"/>
          <w:caps w:val="false"/>
          <w:smallCaps w:val="false"/>
          <w:sz w:val="20"/>
        </w:rPr>
        <w:t>The Senior Unsecured Convertible Bonds shall bear from their issuance until they are converted or redeemed, interests payable in cash on a semi-annual basis at a rate equal to 10%. However, if a payment in cash has not been made on a semi-annual payment date, payment on the next semi-annual payment date shall be in PIK at a rate of 12% payable and compounded annually from the last payment date on which a payment in cash has been made.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Preference:    </w:t>
      </w:r>
      <w:r>
        <w:rPr>
          <w:rFonts w:ascii="Times New Roman PS Std;serif" w:hAnsi="Times New Roman PS Std;serif"/>
          <w:b w:val="false"/>
          <w:i w:val="false"/>
          <w:caps w:val="false"/>
          <w:smallCaps w:val="false"/>
          <w:sz w:val="20"/>
        </w:rPr>
        <w:t>Upon any liquidation or deemed liquidation event, the holders of Senior Unsecured Convertible Bonds will be entitled to receive out of the available proceeds, before any distribution is made to holders of ordinary shares or any other junior securities, an amount equal to 100% of the Accrued Value (as defined in the Senior Unsecured Convertible Bonds Terms and Conditions). Thereafter, the holders of Senior Unsecured Convertible Bonds will be entitled to receive their pro rata share of the remaining available proceeds available for distribution to bondholders, pro rata based on the number of Ordinary Shares held by each such holder, including all Ordinary Shares converted and all Ordinary Shares issuable upon conversion immediately prior to such liquidation, dissolution or winding up of New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Protective Provisions:    </w:t>
      </w:r>
      <w:r>
        <w:rPr>
          <w:rFonts w:ascii="Times New Roman PS Std;serif" w:hAnsi="Times New Roman PS Std;serif"/>
          <w:b w:val="false"/>
          <w:i w:val="false"/>
          <w:caps w:val="false"/>
          <w:smallCaps w:val="false"/>
          <w:sz w:val="20"/>
        </w:rPr>
        <w:t>For as long as 10% of the Senior Unsecured Convertible Bonds issued as of the Closing Date are held by Inflection Point Asset Management LLC or the other investors in the March 2026 Financing or their respective affiliates, New Pasqal shall not, without the affirmative vote or written consent of the Masse, take any of the following actions: (i) liquidate, dissolve or wind up the affairs of New Pasqal, or commence or consent to any bankruptcy proceeding relating to New Pasqal (to the extent permitted under French law); (ii) amend, alter, or repeal any provision of the Company’s bylaws or the Senior Unsecured Convertible Bonds Terms and Conditions in a manner that materially and adversely affects the powers, preferences or rights given to the holders of the Senior Unsecured Convertible Bonds; (iii) create, authorize or issue any other equity security or security convertible into or exercisable for any equity security unless such security ranks junior to the Senior Unsecured Convertible Bonds with respect to its rights, preferences and privileges, or increase the aggregate amount of the Senior Unsecured Convertible Bonds accordingly; (iv) pay any cash dividend or redeem any equity or equity-linked security prior to repayment in full, redemption or conversion of the Senior Unsecured Convertible Bonds into New Pasqal Ordinary Shares, other than stock repurchased at cost from former employees and consultants in connection with the cessation of their service or pursuant to the terms of any equity incentive plan of New Pasqal; (v) enter into any transaction with an affiliate, other than the issuance of equity or awards to eligible participants under New Pasqal’s incentive plan, equity plan or equity-based compensation plan, or with respect to employment, consulting or award agreements with respect to executive officers of New Pasqal, in each case regardless of whether such person (or such person’s affiliates) would be considered an affiliate of New Pasqal; or (vi) incur or guarantee any new indebtedness, including secured and/or senior debt, other than equipment leases or trade payables incurred in the ordinary course of business. The Company will promptly deliver written notice to the Senior Unsecured Convertible Bonds of the occurrence of any breach or default of the foregoing, each of which shall be considered as an event of default unless, if curable, it has not been cured within five business days of formal notice sent by registered letter with acknowledgement of receipt (</w:t>
      </w:r>
      <w:r>
        <w:rPr>
          <w:rFonts w:ascii="Times New Roman PS Std;serif" w:hAnsi="Times New Roman PS Std;serif"/>
          <w:b w:val="false"/>
          <w:i/>
          <w:caps w:val="false"/>
          <w:smallCaps w:val="false"/>
          <w:sz w:val="20"/>
        </w:rPr>
        <w:t>lettre recommandée avec accusé de reception</w:t>
      </w:r>
      <w:r>
        <w:rPr>
          <w:rFonts w:ascii="Times New Roman PS Std;serif" w:hAnsi="Times New Roman PS Std;serif"/>
          <w:b w:val="false"/>
          <w:i w:val="false"/>
          <w:caps w:val="false"/>
          <w:smallCaps w:val="false"/>
          <w:sz w:val="20"/>
        </w:rPr>
        <w:t>) or by bailiff service (</w:t>
      </w:r>
      <w:r>
        <w:rPr>
          <w:rFonts w:ascii="Times New Roman PS Std;serif" w:hAnsi="Times New Roman PS Std;serif"/>
          <w:b w:val="false"/>
          <w:i/>
          <w:caps w:val="false"/>
          <w:smallCaps w:val="false"/>
          <w:sz w:val="20"/>
        </w:rPr>
        <w:t>notification par commissaire de justice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Optional Conversion:    </w:t>
      </w:r>
      <w:r>
        <w:rPr>
          <w:rFonts w:ascii="Times New Roman PS Std;serif" w:hAnsi="Times New Roman PS Std;serif"/>
          <w:b w:val="false"/>
          <w:i w:val="false"/>
          <w:caps w:val="false"/>
          <w:smallCaps w:val="false"/>
          <w:sz w:val="20"/>
        </w:rPr>
        <w:t>Each Convertible Bond may be converted into New Pasqal Ordinary Shares at any time at the option of the holder at a rate equal to the then-Accrued Value, divided by the then-applicable conversion price. The conversion price will initially be $12.00, subject to adjustments for stock dividends, stock splits, combinations, reclassifications and similar events and customary anti-dilution adjustments, including with respect to future issuances or sales of New Pasqal Ordinary Shares at prices less than the conversion price then in effect. In addition, on the date that is six months after the Closing, if the 20-day volume-weighted average price of the New Pasqal Ordinary Shares is less than the conversion price then in effect, the conversion price will be adjusted to the greater of (i) such volume weighted average price and (ii) $7.80.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Rights:    </w:t>
      </w:r>
      <w:r>
        <w:rPr>
          <w:rFonts w:ascii="Times New Roman PS Std;serif" w:hAnsi="Times New Roman PS Std;serif"/>
          <w:b w:val="false"/>
          <w:i w:val="false"/>
          <w:caps w:val="false"/>
          <w:smallCaps w:val="false"/>
          <w:sz w:val="20"/>
        </w:rPr>
        <w:t>Unless prohibited by applicable law governing distributions to shareholders, the Senior Unsecured Convertible Bonds shall be redeemable at the option of each holder of Senior Unsecured Convertible Bonds commencing any time after the 5th anniversary of the Closing at a price equal to the Accrued Value. New Pasqal shall elect to settle with (i) cash from distributable amounts in accordance with article L. 232-11 of the French Commercial Code; (ii) cash proceeds from a new issue of equity securities carried out for the purpose of such redemption; (iii) New Pasqal Ordinary Shares on a price per share basis at least 20.0% lower than the last closing price immediately preceding the issuance of notice pursuant to which New Pasqal has elected its settlement method; or (iv) a combination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Call Rights:    </w:t>
      </w:r>
      <w:r>
        <w:rPr>
          <w:rFonts w:ascii="Times New Roman PS Std;serif" w:hAnsi="Times New Roman PS Std;serif"/>
          <w:b w:val="false"/>
          <w:i w:val="false"/>
          <w:caps w:val="false"/>
          <w:smallCaps w:val="false"/>
          <w:sz w:val="20"/>
        </w:rPr>
        <w:t>Unless prohibited by applicable law governing distributions to shareholders, all or a portion of the Senior Unsecured Convertible Bonds shall be redeemable at the option of New Pasqal commencing any time (i) prior to the first anniversary of the Closing at a price equal to the 150% of the Accrued Value, (ii) on or after the 1st anniversary but prior to the 2nd anniversary of the Closing at a price equal to the 140% of the Accrued Value, (iii) on or after the second anniversary of the Closing but prior to the third anniversary of the Closing at a price equal to the 130% of the Accrued Value, (iv) on or after the third anniversary of the Closing but prior to the fourth anniversary of the Closing at a price equal to the 120% of the Accrued Value, (v) on or after the fourth anniversary of the Closing but prior to the 5th anniversary of the Closing at a price equal to the 110% of the Accrued Value, or (vi) on or after the fifth anniversary of the Closing at a price equal to the 100% of the Accrued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Investment Warrants:    </w:t>
      </w:r>
      <w:r>
        <w:rPr>
          <w:rFonts w:ascii="Times New Roman PS Std;serif" w:hAnsi="Times New Roman PS Std;serif"/>
          <w:b w:val="false"/>
          <w:i w:val="false"/>
          <w:caps w:val="false"/>
          <w:smallCaps w:val="false"/>
          <w:sz w:val="20"/>
        </w:rPr>
        <w:t>At the closing of the March 2026 Financing, the Investors received Investment Warrants to purchase New Pasqal Ordinary Shares. The Investment Warrants are immediately exercisable upon issuance at Closing and will expire five years from the date of Closing. The Investment Warrants include customary cash and cashless exercise provisions. Each Investment Warrant is initially exercisable at $12.00 per New Pasqal Ordinary Share, subject to the same anti-dilution and other adjustments as the Senior Unsecured Convertible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Warrant Redemption:    </w:t>
      </w:r>
      <w:r>
        <w:rPr>
          <w:rFonts w:ascii="Times New Roman PS Std;serif" w:hAnsi="Times New Roman PS Std;serif"/>
          <w:b w:val="false"/>
          <w:i w:val="false"/>
          <w:caps w:val="false"/>
          <w:smallCaps w:val="false"/>
          <w:sz w:val="20"/>
        </w:rPr>
        <w:t>Commencing on the one year anniversary of the Closing, New Pasqal may redeem all outstanding Investment Warrants, in whole and not in part, at any time, upon prior written notice of redemption, as described in the Securities Purchase Agreement, if, and only if, the last reported sale price of the New Pasqal Ordinary Shares underlying such Investment Warrants equals or exceeds $18.00 per share for any 20 trading days within a 30-trading day period, and subject to certain other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Investment Warrants Representative:    </w:t>
      </w:r>
      <w:r>
        <w:rPr>
          <w:rFonts w:ascii="Times New Roman PS Std;serif" w:hAnsi="Times New Roman PS Std;serif"/>
          <w:b w:val="false"/>
          <w:i w:val="false"/>
          <w:caps w:val="false"/>
          <w:smallCaps w:val="false"/>
          <w:sz w:val="20"/>
        </w:rPr>
        <w:t>Holders of Investment Warrants shall be organized as a Warrants Masse. The Warrants Masse shall be governed by the provisions of the French Code de commerce and will act in part through a representative (</w:t>
      </w:r>
      <w:r>
        <w:rPr>
          <w:rFonts w:ascii="Times New Roman PS Std;serif" w:hAnsi="Times New Roman PS Std;serif"/>
          <w:b w:val="false"/>
          <w:i/>
          <w:caps w:val="false"/>
          <w:smallCaps w:val="false"/>
          <w:sz w:val="20"/>
        </w:rPr>
        <w:t>representant de la masse</w:t>
      </w:r>
      <w:r>
        <w:rPr>
          <w:rFonts w:ascii="Times New Roman PS Std;serif" w:hAnsi="Times New Roman PS Std;serif"/>
          <w:b w:val="false"/>
          <w:i w:val="false"/>
          <w:caps w:val="false"/>
          <w:smallCaps w:val="false"/>
          <w:sz w:val="20"/>
        </w:rPr>
        <w:t>) and in part through collective decisions of the Convertible Bondholders, whether by general meetings or written consultations as permitted under Article L. 228-46-1 of the French Commercial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Inflection Point Designation Rights:    </w:t>
      </w:r>
      <w:r>
        <w:rPr>
          <w:rFonts w:ascii="Times New Roman PS Std;serif" w:hAnsi="Times New Roman PS Std;serif"/>
          <w:b w:val="false"/>
          <w:i w:val="false"/>
          <w:caps w:val="false"/>
          <w:smallCaps w:val="false"/>
          <w:sz w:val="20"/>
        </w:rPr>
        <w:t>In connection with the March 2026 Financing, Bleichroeder and the Sponsor agreed to provide the IP Investors led by Inflection Point, the right to designate an IP nominee to be included as one of the directors that Bleichroeder is entitled to designate to the New Pasqal Board at the Closing (the “</w:t>
      </w:r>
      <w:r>
        <w:rPr>
          <w:rFonts w:ascii="Times New Roman PS Std;serif" w:hAnsi="Times New Roman PS Std;serif"/>
          <w:b/>
          <w:i w:val="false"/>
          <w:caps w:val="false"/>
          <w:smallCaps w:val="false"/>
          <w:sz w:val="20"/>
        </w:rPr>
        <w:t>Designation Right</w:t>
      </w:r>
      <w:r>
        <w:rPr>
          <w:rFonts w:ascii="Times New Roman PS Std;serif" w:hAnsi="Times New Roman PS Std;serif"/>
          <w:b w:val="false"/>
          <w:i w:val="false"/>
          <w:caps w:val="false"/>
          <w:smallCaps w:val="false"/>
          <w:sz w:val="20"/>
        </w:rPr>
        <w:t>”) under the Business Combination Agreement. Each of Bleichroeder and the Sponsor agreed to take all actions within its respective power, including voting (or causing to be voted) any securities of Bleichroeder or New Pasqal over which it exercises voting control, and to exercise all rights it may have under the Business Combination Agreement, any organizational documents, any investor rights or similar agreement, or otherwise, to designate the IP Nominee to the New Pasqal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Service Agreement with Wasiq Bokhari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8, 2023, a subsidiary of Legacy Pasqal entered into a service agreement with Mr. Wasiq Bokhari, who has served as Legacy Pasqal’s chairman since January 2024. Pursuant to the agreement, Dr. Bokhari provided advisory services to Legacy Pasqal and its subsidiaries, including corporate growth strategy, fundraising assistance and operational support. Compensation under the agreement was $10,000 per week. The agreement included a non-compete provision prohibiting Dr. Bokhari, for six months following termination, from working with or for any competitor of Legacy Pasqal. This service agreement was terminated effective as of the date of Mr. Bokhari’s appointment as </w:t>
      </w:r>
      <w:r>
        <w:rPr>
          <w:rFonts w:ascii="Times New Roman PS Std;serif" w:hAnsi="Times New Roman PS Std;serif"/>
          <w:b w:val="false"/>
          <w:i/>
          <w:caps w:val="false"/>
          <w:smallCaps w:val="false"/>
          <w:sz w:val="20"/>
        </w:rPr>
        <w:t>mandataire social</w:t>
      </w:r>
      <w:r>
        <w:rPr>
          <w:rFonts w:ascii="Times New Roman PS Std;serif" w:hAnsi="Times New Roman PS Std;serif"/>
          <w:b w:val="false"/>
          <w:i w:val="false"/>
          <w:caps w:val="false"/>
          <w:smallCaps w:val="false"/>
          <w:sz w:val="20"/>
        </w:rPr>
        <w:t xml:space="preserve"> on October 29,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 Appreciation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December 23, 2019 to December 11, 2025, Pasqal SAS entered into certain share appreciation rights (“</w:t>
      </w:r>
      <w:r>
        <w:rPr>
          <w:rFonts w:ascii="Times New Roman PS Std;serif" w:hAnsi="Times New Roman PS Std;serif"/>
          <w:b/>
          <w:i w:val="false"/>
          <w:caps w:val="false"/>
          <w:smallCaps w:val="false"/>
          <w:sz w:val="20"/>
        </w:rPr>
        <w:t>SAR</w:t>
      </w:r>
      <w:r>
        <w:rPr>
          <w:rFonts w:ascii="Times New Roman PS Std;serif" w:hAnsi="Times New Roman PS Std;serif"/>
          <w:b w:val="false"/>
          <w:i w:val="false"/>
          <w:caps w:val="false"/>
          <w:smallCaps w:val="false"/>
          <w:sz w:val="20"/>
        </w:rPr>
        <w:t>”) agreements (the “</w:t>
      </w:r>
      <w:r>
        <w:rPr>
          <w:rFonts w:ascii="Times New Roman PS Std;serif" w:hAnsi="Times New Roman PS Std;serif"/>
          <w:b/>
          <w:i w:val="false"/>
          <w:caps w:val="false"/>
          <w:smallCaps w:val="false"/>
          <w:sz w:val="20"/>
        </w:rPr>
        <w:t>SAR Agreements</w:t>
      </w:r>
      <w:r>
        <w:rPr>
          <w:rFonts w:ascii="Times New Roman PS Std;serif" w:hAnsi="Times New Roman PS Std;serif"/>
          <w:b w:val="false"/>
          <w:i w:val="false"/>
          <w:caps w:val="false"/>
          <w:smallCaps w:val="false"/>
          <w:sz w:val="20"/>
        </w:rPr>
        <w:t>”) with certain Pasqal SAS’ employees and employees of Pasqal SAS’ subsidiaries. In connection with the Business Combination, after the Closing, Legacy Pasqal will enter into the amendments to the SAR Agreements to provide that (i) the reference securities used to calculate the appreciation payable upon a qualifying liquidity event, as defined therein, is Legacy Pasqal’s securities, and (ii) the qualifying liquidity events, as defined therein, that trigger payment under the SAR Agreements are liquidity events occurring at the level of Legacy Pasqal. Each SAR award is subject to a four-year vesting schedule, and certain SAR awards are subject to additional performance-based vesting conditions set forth therein.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Support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Business Combination Agreement, certain shareholders of Pasqal entered into a company support agreement (the “</w:t>
      </w:r>
      <w:r>
        <w:rPr>
          <w:rFonts w:ascii="Times New Roman PS Std;serif" w:hAnsi="Times New Roman PS Std;serif"/>
          <w:b/>
          <w:i w:val="false"/>
          <w:caps w:val="false"/>
          <w:smallCaps w:val="false"/>
          <w:sz w:val="20"/>
        </w:rPr>
        <w:t>Company Support Agreement</w:t>
      </w:r>
      <w:r>
        <w:rPr>
          <w:rFonts w:ascii="Times New Roman PS Std;serif" w:hAnsi="Times New Roman PS Std;serif"/>
          <w:b w:val="false"/>
          <w:i w:val="false"/>
          <w:caps w:val="false"/>
          <w:smallCaps w:val="false"/>
          <w:sz w:val="20"/>
        </w:rPr>
        <w:t>”) with Bleichroeder, Legacy Pasqal and Merger Sub, pursuant to which each such shareholders agreed to, among other things, (i) vote in favor of the Business Combination Agreement, the Mergers, and each other proposal related to the Business Combination, and against any alternative transactions or agreements that would reasonably be expected to prevent, impede, interfere with, delay, postpone or adversely affect the Business Combination, (ii) be bound to certain transfer restrictions with respect to its shares and other equity securities of Pasqal prior to the expiration of the Company Support Agreement, and (iii) vote in opposition to any proposals for an Alternative Transaction (as defined in the Company Support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Pasqal SAS’ Series A and Series B rounds in 2021 and 2022, Pasqal SAS entered into certain shareholders’ agreements (“</w:t>
      </w:r>
      <w:r>
        <w:rPr>
          <w:rFonts w:ascii="Times New Roman PS Std;serif" w:hAnsi="Times New Roman PS Std;serif"/>
          <w:b/>
          <w:i w:val="false"/>
          <w:caps w:val="false"/>
          <w:smallCaps w:val="false"/>
          <w:sz w:val="20"/>
        </w:rPr>
        <w:t>Series A and Series B SHAs</w:t>
      </w:r>
      <w:r>
        <w:rPr>
          <w:rFonts w:ascii="Times New Roman PS Std;serif" w:hAnsi="Times New Roman PS Std;serif"/>
          <w:b w:val="false"/>
          <w:i w:val="false"/>
          <w:caps w:val="false"/>
          <w:smallCaps w:val="false"/>
          <w:sz w:val="20"/>
        </w:rPr>
        <w:t>”) with certain Pasqal SAS shareholders. The Series A and Series B SHAs have been terminated and are no longer in effect. In 2025, Pasqal SAS entered into a shareholders’ agreement in connection with its Series C round (“</w:t>
      </w:r>
      <w:r>
        <w:rPr>
          <w:rFonts w:ascii="Times New Roman PS Std;serif" w:hAnsi="Times New Roman PS Std;serif"/>
          <w:b/>
          <w:i w:val="false"/>
          <w:caps w:val="false"/>
          <w:smallCaps w:val="false"/>
          <w:sz w:val="20"/>
        </w:rPr>
        <w:t>Series C SHA</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Legacy Pasqal entered into a shareholders’ agreement (“</w:t>
      </w:r>
      <w:r>
        <w:rPr>
          <w:rFonts w:ascii="Times New Roman PS Std;serif" w:hAnsi="Times New Roman PS Std;serif"/>
          <w:b/>
          <w:i w:val="false"/>
          <w:caps w:val="false"/>
          <w:smallCaps w:val="false"/>
          <w:sz w:val="20"/>
        </w:rPr>
        <w:t>SHA</w:t>
      </w:r>
      <w:r>
        <w:rPr>
          <w:rFonts w:ascii="Times New Roman PS Std;serif" w:hAnsi="Times New Roman PS Std;serif"/>
          <w:b w:val="false"/>
          <w:i w:val="false"/>
          <w:caps w:val="false"/>
          <w:smallCaps w:val="false"/>
          <w:sz w:val="20"/>
        </w:rPr>
        <w:t>,” together with the Series C SHA, the “</w:t>
      </w:r>
      <w:r>
        <w:rPr>
          <w:rFonts w:ascii="Times New Roman PS Std;serif" w:hAnsi="Times New Roman PS Std;serif"/>
          <w:b/>
          <w:i w:val="false"/>
          <w:caps w:val="false"/>
          <w:smallCaps w:val="false"/>
          <w:sz w:val="20"/>
        </w:rPr>
        <w:t>SHAs</w:t>
      </w:r>
      <w:r>
        <w:rPr>
          <w:rFonts w:ascii="Times New Roman PS Std;serif" w:hAnsi="Times New Roman PS Std;serif"/>
          <w:b w:val="false"/>
          <w:i w:val="false"/>
          <w:caps w:val="false"/>
          <w:smallCaps w:val="false"/>
          <w:sz w:val="20"/>
        </w:rPr>
        <w:t>”) that provided certain rights to Legacy Pasqal shareholders including certain approval rights, restrictions on transfers, rights of first offer and refusal, tag-along rights, drag-along rights, observer rights and information rights. The SHAs terminated upon the consummation of the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BSPCEs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Pasqal Reorganization, in June 2026, 347,800 historical BSPCEs awarded by Pasqal SAS with an exercise price of €0.37 were exercised by the BSPCE beneficiaries, resulting in the issuance of 347,800 ordinary shares of Pasqal SAS. These 347,800 ordinary shares of Pasqal SAS will be contributed to Legacy Pasqal prior to closing, resulting in the issuance of 347,800 ordinary shares of Legacy Pasqal in remuneration of this contribution. Furthermore, all 2021-1, 2021-2, 2022, 2024, 2025-1 and 2025-2 BSPCE at the level of Pasqal SAS were cancelled, and new BSPCE were issued by Legacy Pasqal and granted to the relevant beneficiaries.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Allocation Agreement between Pasqal Holding SAS and Pasqal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Pasqal Reorganization, Pasqal SAS and Legacy Pasqal entered into a business allocation agreement pursuant to which all activities relating to the development of core intellectual property or the production of next-generation hardware must be carried out within Pasqal SAS or its subsidiaries, and none of these activities carried out by Pasqal SAS may be transferred to a subsidiary of Pasqal SAS located outside France without the agreement of a strategic committee (including the positive vote of Bpifrance) (the “</w:t>
      </w:r>
      <w:r>
        <w:rPr>
          <w:rFonts w:ascii="Times New Roman PS Std;serif" w:hAnsi="Times New Roman PS Std;serif"/>
          <w:b/>
          <w:i w:val="false"/>
          <w:caps w:val="false"/>
          <w:smallCaps w:val="false"/>
          <w:sz w:val="20"/>
        </w:rPr>
        <w:t>Strategic Committee</w:t>
      </w:r>
      <w:r>
        <w:rPr>
          <w:rFonts w:ascii="Times New Roman PS Std;serif" w:hAnsi="Times New Roman PS Std;serif"/>
          <w:b w:val="false"/>
          <w:i w:val="false"/>
          <w:caps w:val="false"/>
          <w:smallCaps w:val="false"/>
          <w:sz w:val="20"/>
        </w:rPr>
        <w:t>”) consisting of five members: the CEO of New Pasqal, the Chairman of Pasqal SAS, two members of the board of directors of New Pasqal, and a representative of Bpifrance. The agreement has an initial term of 15 years, renewable at the request of either party for an additional period of 5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Strategic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consummation of the Business Combination, a Strategic Committee was established at Pasqal SAS pursuant to its articles of association, consisting of five members, including (i) the Chief Executive Officer of New Pasqal, (ii) Pasqal SAS’ President, (iii) two board members of New Pasqal and (iv) a representative of Bpifrance, one of Legacy Pasqal’s shareholders that will remain a shareholder of New Pasqal. The consent of the Strategic Committee (majority vote with the positive vote of Bpifrance) is required in connection with decisions relating to, among other things, changes to Pasqal SAS’ jurisdiction of incorporation, the sale of a major portion of intellectual property or assets to a non-French acquirer, the development of any intellectual property by Pasqal SAS filed outside of France, the license of any intellectual property by Pasqal SAS including to any subsidiary of the Pasqal Group, any transfer to be made pursuant to the Business Allocation Agreement, any amendment to the Business Allocation Agreement, any production of critical parts that are not one generation behind outside of France, any amendment to the definition of core hardware technical activities subject to a firewall, and the ratification of the appointment of Pasqal SAS’ President.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Lock-Up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New Pasqal, the Sponsor, certain shareholders of Legacy Pasqal, certain shareholders of Bleichroeder and certain directors and officers entered into lock-up agreements (the “</w:t>
      </w:r>
      <w:r>
        <w:rPr>
          <w:rFonts w:ascii="Times New Roman PS Std;serif" w:hAnsi="Times New Roman PS Std;serif"/>
          <w:b/>
          <w:i w:val="false"/>
          <w:caps w:val="false"/>
          <w:smallCaps w:val="false"/>
          <w:sz w:val="20"/>
        </w:rPr>
        <w:t>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Agreements</w:t>
      </w:r>
      <w:r>
        <w:rPr>
          <w:rFonts w:ascii="Times New Roman PS Std;serif" w:hAnsi="Times New Roman PS Std;serif"/>
          <w:b w:val="false"/>
          <w:i w:val="false"/>
          <w:caps w:val="false"/>
          <w:smallCaps w:val="false"/>
          <w:sz w:val="20"/>
        </w:rPr>
        <w:t>”), pursuant to which, among other things, each of the Lock-Up Parties agreed not to effect any sale or distribution of the New Pasqal Ordinary Shares held by such holder after the Closing until the earlier of (i) 180 days after the date on which the Closing occurs, (ii) the day after the date on which the closing price of the New Pasqal Ordinary Shares equals or exceeds $12.00 per share (as adjusted for share sub-divisions, share capitalizations, reorganizations, recapitalizations and the like) for any 20 trading days within any 30-trading day period commencing after the date on which the Closing occurs, and (iii) the date on which New Pasqal consummates a liquidation, merger, capital stock exchange, reorganization or other similar transaction that results in all of New Pasqal’s shareholders having the right to exchange their shares for cash, securities or other property, subject to certain exceptions set forth in the Lock-Up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indemnification agreements with each of our executive officers and directors. The indemnification agreements provide the indemnitees with contractual rights to indemnification, and expense advancement and reimbursement, to the fullest extent permitted under French law, subject to certain exceptions contained in those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Bpifrance Board Representation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New Pasqal entered into the Bpifrance Board Representation Letter with Bpifrance, one of Legacy Pasqal’s shareholders that will remain a significant shareholder of New Pasqal following the Business Combination. Pursuant to the Bpifrance Board Representation Letter, for so long as Bpifrance or its affiliates beneficially own any New Pasqal Ordinary Shares, Bpifrance will be entitled to propose the appointment of one member to the New Pasqal Board, who New Pasqal will also propose for appointment to the Board’s nominating and governance committee, and New Pasqal will undertake to submit renewal or replacement resolutions to its shareholders and to co-opt a replacement proposed by Bpifrance if the director so designated ceases to serve. If the BPI Investor ceases to beneficially own at least 50% of the New Pasqal Ordinary Shares it beneficially owned on the date of the Bpifrance Board Representation Letter, Bpifrance has agreed to negotiate in good faith the director appointment rights it will retain thereafter. For this purpose, the “BPI Investor” consists, collectively, of Bpifrance and its affiliated funds and managed or advised entities (including FPS Fonds Innovation Défense and FPS Bpifrance Innovation I, Compartiment B Large Venture 2), together with Caisse des Dépôts et Consignations, the French State and their respective affiliated entities. The board seat designated by Bpifrance is initially held by a legal entity (personne morale) that, in accordance with French law, has appointed Nicolas Berdou as its permanent representative (représentant permanent).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EIC Board Representation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New Pasqal entered into the EIC Board Representation Letter with EIC Fund, one of Legacy Pasqal’s shareholders that will remain a shareholder of New Pasqal following the Business Combination. Pursuant to the EIC Board Representation Letter, for so long as the EIC Investor beneficially owns any New Pasqal Ordinary Shares, EIC Fund will be entitled to propose the appointment of one member to the New Pasqal Board, who New Pasqal will also propose for appointment to the Board’s audit committee, and New Pasqal will undertake to submit renewal or replacement resolutions to its shareholders and to co-opt a replacement proposed by EIC Fund if the director so designated ceases to serve. The board seat designated by EIC Fund will initially be held by Jean Raby.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MC Advisory Board Observer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New Pasqal and MC Advisory entered into the MC Advisory Board Observer Letter, pursuant to which, for so long as MC Advisory Investor beneficially owns 50% of the New Pasqal Ordinary Shares it beneficially owns at the date of the MC Advisory Board Observer Letter, MC Advisory will be entitled to request one non-voting observer to attend meetings of the New Pasqal Board, provided that none of Mr. Combes, Mr. Gundlach or any other member, manager, partner, principal, director, officer, employee, agent, representative, controlling person or other affiliate of MC Advisory, the MC Advisory Investor (as defined therein) or any permitted transfee thereunder is a member of the New Pasqal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Policy Regarding Related Party Transactions After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of the Business Combination, New Pasqal adopted a policy and procedures whereby its audit committee will be responsible for reviewing and approving related party transactions. In addition, New Pasqal’s Code of Ethics will require that all of our employees and directors inform New Pasqal of any material transaction or relationship that comes to their attention that could reasonably be expected to create a conflict of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115"/>
      <w:bookmarkEnd w:id="14"/>
      <w:r>
        <w:rPr>
          <w:rFonts w:ascii="Times New Roman PS Std;serif" w:hAnsi="Times New Roman PS Std;serif"/>
          <w:b/>
          <w:i w:val="false"/>
          <w:caps w:val="false"/>
          <w:smallCaps w:val="false"/>
          <w:sz w:val="20"/>
        </w:rPr>
        <w:t xml:space="preserve">PRINCIPAL SECURITYHOLDERS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and accompanying footnotes set forth information known to us regarding the actual beneficial ownership of the Ordinary Shares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is the beneficial owner of more than 5% of our outstanding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current directors and named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officers,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the Ordinary Shares subject to Rollover BSPCEs, options, Warrants, Investment Warrants, Senior Unsecured Convertible Bonds or other rights held by that person that are currently exercisable or convertible, or will become exercisable or convertible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beneficial ownership of the Company is based on 212,293,691 Ordinary Shares issued and outstanding as of September 1, 2026 after giving effect to the Business Combination and after giving effect to redemptions by Bleichroeder’s public shareholders in connection with the consummation of the Business Combination. In computing the number of Ordinary Shares beneficially owned by a person and the percentage ownership of such person, we deemed to be outstanding all Ordinary Shares subject to the Rollover BSPCEs, options, Warrants, Investment Warrants and Senior Unsecured Convertible Bonds held by the person that are currently exercisable or convertible or exercisable or convertible within 60 days of September 1, 2026. We did not deem such shares outstanding, however, for the purpose of computing the percentage ownership of any other person. The table excludes the potential dilutive effect of 17,333,333 Ordinary Shares issuable upon exercise of the Warrants, 32,703,460 Ordinary Shares underlying the Rollover BSPCEs and assumed options, 26,041,667 Ordinary Shares issuable upon conversion of the Senior Unsecured Convertible Bonds and 32,552,083 Ordinary Shares issuable upon exercise of the Investment Warrants, in each case other than as reflected in the footnotes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and subject to applicable community property laws, we believe that all persons named in the table below have sole voting and investment power with respect to the Ordinary Shares beneficially owned by them. To our knowledge, none of the Ordinary Shares beneficially owned by any executive officer or director have been pledged as security. Unless otherwise indicated, the address of each shareholder named below is c/o Pasqal Holding SA, 24, rue Emile Baudot, 91120 Palaiseau, France.</w:t>
      </w:r>
    </w:p>
    <w:tbl>
      <w:tblPr>
        <w:tblW w:w="6294" w:type="dxa"/>
        <w:jc w:val="left"/>
        <w:tblInd w:w="0" w:type="dxa"/>
        <w:tblLayout w:type="fixed"/>
        <w:tblCellMar>
          <w:top w:w="0" w:type="dxa"/>
          <w:left w:w="0" w:type="dxa"/>
          <w:bottom w:w="0" w:type="dxa"/>
          <w:right w:w="0" w:type="dxa"/>
        </w:tblCellMar>
      </w:tblPr>
      <w:tblGrid>
        <w:gridCol w:w="3586"/>
        <w:gridCol w:w="146"/>
        <w:gridCol w:w="1246"/>
        <w:gridCol w:w="146"/>
        <w:gridCol w:w="701"/>
        <w:gridCol w:w="469"/>
      </w:tblGrid>
      <w:tr>
        <w:trPr/>
        <w:tc>
          <w:tcPr>
            <w:tcW w:w="35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Ordinary </w:t>
              <w:br/>
              <w:t>Shares</w:t>
            </w:r>
          </w:p>
        </w:tc>
        <w:tc>
          <w:tcPr>
            <w:tcW w:w="14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 xml:space="preserve">Total </w:t>
              <w:br/>
              <w:t xml:space="preserve">Ordinary </w:t>
              <w:br/>
              <w:t>Shares</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Directors and Executive Officers(1):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Loïc Henriet(2)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4,283,671</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Wasiq Bokhari(3)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6,555,762</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Georges-Olivier Reymond(4)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22,231,152</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Stéphane Rougeot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Dalibard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Michel Combes(5)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4,011,667</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Gundlach(6)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4,011,666</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384" w:type="dxa"/>
        <w:jc w:val="left"/>
        <w:tblInd w:w="0" w:type="dxa"/>
        <w:tblLayout w:type="fixed"/>
        <w:tblCellMar>
          <w:top w:w="0" w:type="dxa"/>
          <w:left w:w="0" w:type="dxa"/>
          <w:bottom w:w="0" w:type="dxa"/>
          <w:right w:w="0" w:type="dxa"/>
        </w:tblCellMar>
      </w:tblPr>
      <w:tblGrid>
        <w:gridCol w:w="6676"/>
        <w:gridCol w:w="146"/>
        <w:gridCol w:w="1246"/>
        <w:gridCol w:w="146"/>
        <w:gridCol w:w="701"/>
        <w:gridCol w:w="469"/>
      </w:tblGrid>
      <w:tr>
        <w:trPr/>
        <w:tc>
          <w:tcPr>
            <w:tcW w:w="66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Ordinary </w:t>
              <w:br/>
              <w:t>Shares</w:t>
            </w:r>
          </w:p>
        </w:tc>
        <w:tc>
          <w:tcPr>
            <w:tcW w:w="14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 xml:space="preserve">Total </w:t>
              <w:br/>
              <w:t xml:space="preserve">Ordinary </w:t>
              <w:br/>
              <w:t>Shares</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Alain Aspect(8)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973,107</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Nicolas Berdou(9)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Raby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(eleven individuals)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42,067,025</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4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5.0% or Greater Beneficial Owners: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Investiqo SAS(10)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12,382,286</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Quantonation(11)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24,448,402</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Runa Capital Fund III, L.P.(12)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18,961,944</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Bpifrance Investissement S.A.S.(13)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24,480,841</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Temasek(14)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11,873,655</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EIC Fund(15)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14,510,094</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15,890,625</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Indicates beneficial ownership of less than 1% of our outstanding Ordinary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indicated, the business address of each director and executive officer is 24, rue Emile Baudot, 91120 Palaiseau,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(i) 1,034,244 New Pasqal Ordinary Shares and (ii) an aggregate of 3,249,427 New Pasqal Ordinary Shares underlying (i) 135,987 BSPCEs that are vested and exercisable as of the date hereof plus (ii) 6,932 BSPCEs that will become vested and exercisable within 60 days, with each BSPCE exercisable for a number of New Pasqal Ordinary Shares equal to the Exchange Ratio. Upon consummation of the Business Combination and pursuant to the Business Combination Agreement, Dr. Henriet acquired 332,753 BSPCEs exercisable for an aggregate of 7,565,520 New Pasqal Ordinary Shares, with the following vesting schedule:(i) 1,946 BSPCEs vesting on a monthly basis between July 1, 2024, and July 1, 2028, (ii) 1,442 BSPCEs vesting on a monthly basis between January 1, 2025, and January 1, 2029, and (iii) 3,544 BSPCEs vesting on a monthly basis between July 1, 2025, and July 1, 2029.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an aggregate of 6,555,762 New Pasqal Ordinary Shares underlying (i) 274,476 BSPCEs that are vested and exercisable as of the date hereof plus (ii) 13,865 BSPCEs that will become vested and exercisable within 60 days, with each BSPCE exercisable for a number of New Pasqal Ordinary Shares equal to the Exchange Ratio. Upon consummation of the Business Combination and pursuant to the Business Combination Agreement, Dr. Bokhari acquired 665,507 BSPCEs exercisable for an aggregate of 15,131,063 New Pasqal Ordinary Shares, with the following vesting schedule: (i) 4,100 BSPCEs vesting on a monthly basis between July 1, 2024, and July 1, 2028, (ii) 2,885 BSPCEs vesting on a monthly basis between January 1, 2025, and January 1, 2029, and (iii) 6,880 BSPCEs of vesting on a monthly basis between July 1, 2025, and July 1, 2029.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22,231,152 New Pasqal Ordinary Shares, consisting of (i) 22,185,680 New Pasqal Ordinary Shares and (ii) 45,472 New Pasqal Ordinary Shares underlying 2,000 BSPCEs that are vested and exercisable as of the date hereof. Upon consummation of the Business Combination and pursuant to the Business Combination Agreement, Mr. Reymond acquired 8,000 BSPCEs exercisable for an aggregate of 181,889 New Pasqal Ordinary Shares, vesting annually in four equal installments between March 15, 2026 and March 15, 2029.Mr. Reymond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shares disclosed for Mr. Combes are held of record by MC Advisory LLC- FZ, consisting of (1) 2,511,667 New Pasqal Ordinary Shares and (2) 1,500,000 New Pasqal Ordinary Shares underlying 1,500,000 New Pasqal Warrants that were formerly Bleichroeder private placement warrants. Mr. Combes is the manager of MC Advisory and may be deemed to beneficially own such securities. Mr. Combes disclaims beneficial ownership of such securities except to the extent of any pecuniary interest therein.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 shares disclosed for Mr. Gundlach consist of (A) 50,233 New Pasqal Ordinary Shares and 30,000 New Pasqal Ordinary Shares underlying 30,000 New Pasqal Warrants that were formerly Bleichroeder private placement warrants held in his personal capacity and (B) 2,461,433 New Pasqal Ordinary Shares and 1,470,000 New Pasqal Ordinary Shares underlying 1,470,000 New Pasqal Warrants that were formerly Bleichroeder private placement warrants held of record by ASG 2019 IRRV TR. Mr. Gundlach holds voting and investment discretion with respect to the securities held of record by ASG 2019 IRRV TR. Mr. Gundlach disclaims any beneficial ownership of the securities held by ASG 2019 IRRV TR other than to the extent of any pecuniary interest he may have therein, directly or indirectly.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Shares are held of record by Inflection Point Fund I LP, or Inflection Point. Consists of (i) 2,000,000 New Pasqal Ordinary Shares, (ii) 1,000,000 New Pasqal Ordinary Shares underlying New Pasqal Warrants that were formerly Bleichoeder private placement warrants, (iii) 5,729,167 shares of New Pasqal Ordinary Shares estimated to be issued to Inflection Point Fund pursuant to the terms of the Senior Unsecured Convertible Bond it holds, at the initial conversion price of $12.00, (ii) 7,161,458 shares of New Pasqal Ordinary Shares issuable upon exercise of the Investment Warrants. Inflection Point Asset Management LLC and Inflection Point GP I LLC are the investment manager and general partner, respectively, of Inflection Point. Voting and dispositive power over securities beneficially owned by Inflection Point are vested in an investment committee of three members, including Michael Blitzer, a director of New Pasqal, Kevin Shannon, who assisted New Pasqal with the Business Combination, and a third individual who does not have, and has not had during the past three years, any relationship with New Pasqal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973,107 New Pasqal Ordinary Shares acquired by Mr. Aspect in the Business Combination. Mr. Aspect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Mr. Berdou does not beneficially own any New Pasqal Ordinary Shares in his individual capacity. Mr. Berdou serves on the New Pasqal Board as the permanent representative (représentant permanent) of Bpifrance , the legal entity (personne morale) designated as a director. Mr. Berdou disclaims beneficial ownership of the New Pasqal Ordinary Shares beneficially owned by the entities affiliated with Bpifrance described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Investiqo SAS is a French société par actions simplifiée having its registered office located at 7, avenue de la Grande Armée — 75116 Paris, registered with the Paris Trade and Companies Register under the number 848 432 134, represented by Mr. Christophe Jurczak. Investiqo SAS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(i) 21,924,691 shares held by QUANTONATION 1, a French fonds professionnel de capital investissement having its registered office located at 58, rue d’Hauteville — 75010 Paris under registration with the French Market Authority under number GP-202211 and represented by Quantonation Ventures SAS, a French société par actions simplifiée having its registered office located at 58, rue d’Hauteville — 75010 Paris, registered with the Paris Trade and Companies Register under number 849 813 522, itself represented by Mr. Olivier Tonneau, in which QUANTONATION 1 has sole voting and dispositive power over such New Pasqal Ordinary Shares, (ii) 322,853 New Pasqal Ordinary Shares held by Quantonation Co-Investment SPV I, LLC and (iii) 2,200,858 New Pasqal Ordinary Shares held by FPCI Quantonation Co-Investment SPV II, LLC.</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Runa Capital Fund III, L.P. is an exempted limited partnership organized under the laws of the Cayman Islands, having its registered office at 4th Floor, Harbour Place, 103 South Church Street, Grand Cayman KY1-1102, Cayman Islands, whose identification number is HS-100958. Runa Capital Fund III, L.P. is represented by its general partner Runa Capital III (GP) who has the sole voting and dispositive power over the New Pasqal Ordinary Shares disclosed herein. All investment and voting decisions relating to the New Pasqal Ordinary Shares by Runa Capital III (GP) are made by its investment committee. The investment committee is comprised of Andrey Bliznyuk, Dmitry Chikhachev, Dmitry Galperin and Ilya Zubarev. Voting and investment decisions of the investment committee requires an affirmative vote of at least three of the foregoing individuals. Accordingly, none of the individuals is deemed a beneficial owner of the New Pasqal Ordinary Shares under the so-called “rule of three”.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Consists of (x) 15,936,582 New Pasqal Ordinary Shares held by FPS Fonds Innovation Défense and (y) 6,200,510 New Pasqal Ordinary Shares held by FPS Bpifrance Innovation I, Compartiment B Large Venture 2 (together, the “Bpifrance Funds”). Each of the Bpifrance Funds is a French fonds d’investissement professionnel spécialisé, represented by its management company, Bpifrance Investissement S.A.S., a French société par actions simplifiée having its registered office located at 27-31, avenue du Général Leclerc, 94710 Maisons-Alfort Cedex, registered with the Créteil Trade and Companies Registry under number 433 975 224. Bpifrance Investissement S.A.S., as management company of each of the Bpifrance Funds, has sole voting and dispositive power over the New Pasqal Ordinary Shares disclosed herein and may be deemed to beneficially own such shares. Bpifrance Investissement S.A.S. is a wholly-owned subsidiary of Bpifrance Participations, which is itself a wholly-owned subsidiary of Bpifrance S.A., which is jointly controlled by the French State and the Caisse des Dépôts et Consignations, each having its principal business address at 27-31, avenue du Général Leclerc, 94710 Maisons-Alfort Cedex, France. The shares reported for the Bpifrance Funds also include (i) 1,041,666 New Pasqal Ordinary Shares estimated to be issued to FPS Bpifrance Innovation I, Compartiment B Large Venture 2 pursuant to the terms of the Senior Unsecured Convertible Bonds it holds, at the initial conversion price of $12.00, and (ii) 1,302,083 New Pasqal Ordinary Shares issuable upon exercise of the Investment Warrants it holds. Bpifrance has the right to designate one member of the New Pasqal Board which right was documented in the Bpifrance Board Representation Letter entered into at the Closing. The board seat designated by Bpifrance is held by a legal entity (personne morale), which, in accordance with French law, has appointed Nicolas Berdou as its permanent representative (représentant permanent), whose business address is 6-8, Boulevard Haussmann, 75009 Paris, France.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Consists of (i) 10,504,462 New Pasqal Ordinary Shares held by Franklin Investments Pte. Ltd (Temasek) (“Franklin”), a Singaporean private company limited by shares with unique entity number (UEN) 201628627C and a wholly-owned subsidiary of Temasek Holdings (Private) Limited (“Temasek”) by which Temasek may be deemed to beneficially own the shares held by Franklin by virtue of its ownership and control of Franklin and (ii) 1,369,193 New Pasqal Ordinary Shares held by Rosa Investments Pte. Ltd., a wholly-owned subsidiary of Temasek. The address of each entity is 60B Orchard Road, #06-18 The Atrium@Orchard, Singapore 238891.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Alter Domus Management Company S.A. serves as the alternative investment fund manager of EIC Fund. The principal business address of EIC Fund is 15, Boulevard Friedrich Wilhelm Raiffeisen, L-2411 Luxembourg. EIC Fund has the right to designate one member of the New Pasqal Board, which right was documented in the EIC Board Representation Letter entered into at the Closing. The board seat designated by EIC Fund is initially held by Jean Raby.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116"/>
      <w:bookmarkEnd w:id="15"/>
      <w:r>
        <w:rPr>
          <w:rFonts w:ascii="Times New Roman PS Std;serif" w:hAnsi="Times New Roman PS Std;serif"/>
          <w:b/>
          <w:i w:val="false"/>
          <w:caps w:val="false"/>
          <w:smallCaps w:val="false"/>
          <w:sz w:val="20"/>
        </w:rPr>
        <w:t xml:space="preserve">SELLING SECURITYHOLDERS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resale by the Selling Securityholders from time to time of (i) up to 286,674,886 Ordinary Shares, consisting of (a) up to 56,287,179 Ordinary Shares issuable upon conversion of the Senior Unsecured Convertible Bonds, assuming a conversion price of $7.80 per Ordinary Share and taking into account payment-in-kind interest accrued for a period of three years from the Closing Date, (b) up to 50,080,128 Ordinary Shares issuable upon exercise of the Investment Warrants, assuming an exercise price of $7.80 per Ordinary Share, (c) up to 9,583,333 Ordinary Shares held by the Sponsor received upon conversion of 9,583,333 Bleichroeder Class B ordinary shares in connection with the Business Combination, (d) up to 7,750,000 Ordinary Shares issuable upon exercise of the Private Placement Warrants, (e) up to 162,974,246 Ordinary Shares issued to certain affiliated former shareholders of Legacy Pasqal in connection with the Merger, and (ii) up to 7,750,000 Private Placement Warrants. We will not receive any proceeds from the sale of Ordinary Shares or Private Placement Warrants by the Selling Securityholders pursuant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prospectus, the term “Selling Securityholders” includes the persons listed in the table below, together with any additional Selling Securityholders listed in a subsequent amendment to this prospectus, and their pledgees, donees, transferees, assignees, successors, designees and others who later come to hold any of the Selling Securityholders’ interests in the Ordinary Shares or Private Placement Warrants other than through a public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the securities held by certain of our Selling Securityholders are subject to transfer restrictions pursuant to the Lock-Up Agreements. Such restrictions began at the Closing of the Business Combination and end on the earlier of (i) 180 days after the date on which the Closing occurred, (ii) the day after the date on which the closing price of the Ordinary Shares equals or exceeds $12.00 per share (as adjusted for share sub-divisions, share capitalizations, reorganizations, recapitalizations and the like) for any 20 trading days within any 30-trading day period commencing after the date on which the Closing occurred, and (iii) the date on which New Pasqal consummates a liquidation, merger, capital stock exchange, reorganization or other similar transaction that results in all of New Pasqal’s shareholders having the right to exchange their shares for cash, securities or other property, subject to certain exceptions set forth in the Lock-Up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in the footnotes below, the following table sets forth, based on written representations from the Selling Securityholders, certain information as of September 1, 2026, following the Closing, regarding the beneficial ownership of our Ordinary Shares and Private Placement Warrants by the Selling Securityholders and the Ordinary Shares and Private Placement Warrants being offered by the Selling Securityholders. The applicable percentage ownership of Ordinary Shares is based on approximately 212,293,691 Ordinary Shares outstanding as of September 1, 2026 following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with respect to Ordinary Shares and Private Placement Warrants owned beneficially after the offering assumes the sale of all of the Ordinary Shares or Private Placement Warrants. The Selling Securityholders may offer and sell some, all or none of their Ordinary Shares or Private Placement Warrants,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determined beneficial ownership in accordance with the rules of the SEC, which generally provide that a person has beneficial ownership of a security if he, she or it possesses sole or shared voting or investment power over that security or the right to acquire such power within 60 days. Except as indicated by the footnotes below, we believe, based on the information furnished to us, that the Selling Securityholders have sole voting and investment power with respect to all Ordinary Shares and Private Placement Warrants that they beneficially own, subject to applicable community property laws. Except as otherwise described below, based on the information provided to us by the Selling Securityholders, no Selling Securityholders is a broker-dealer or an affiliate of a broker dealer.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the section titled “Plan of Distribution” for further information regarding the Selling Securityholder’s method of distributing these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362" w:type="dxa"/>
        <w:jc w:val="left"/>
        <w:tblInd w:w="0" w:type="dxa"/>
        <w:tblLayout w:type="fixed"/>
        <w:tblCellMar>
          <w:top w:w="0" w:type="dxa"/>
          <w:left w:w="0" w:type="dxa"/>
          <w:bottom w:w="0" w:type="dxa"/>
          <w:right w:w="0" w:type="dxa"/>
        </w:tblCellMar>
      </w:tblPr>
      <w:tblGrid>
        <w:gridCol w:w="1976"/>
        <w:gridCol w:w="146"/>
        <w:gridCol w:w="1246"/>
        <w:gridCol w:w="146"/>
        <w:gridCol w:w="1246"/>
        <w:gridCol w:w="146"/>
        <w:gridCol w:w="1231"/>
        <w:gridCol w:w="146"/>
        <w:gridCol w:w="916"/>
        <w:gridCol w:w="146"/>
        <w:gridCol w:w="1231"/>
        <w:gridCol w:w="146"/>
        <w:gridCol w:w="1156"/>
        <w:gridCol w:w="146"/>
        <w:gridCol w:w="1231"/>
        <w:gridCol w:w="146"/>
        <w:gridCol w:w="961"/>
      </w:tblGrid>
      <w:tr>
        <w:trPr/>
        <w:tc>
          <w:tcPr>
            <w:tcW w:w="19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7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Ordinary Shares</w:t>
            </w:r>
          </w:p>
        </w:tc>
        <w:tc>
          <w:tcPr>
            <w:tcW w:w="146" w:type="dxa"/>
            <w:tcBorders/>
            <w:vAlign w:val="bottom"/>
          </w:tcPr>
          <w:p>
            <w:pPr>
              <w:pStyle w:val="TableContents"/>
              <w:bidi w:val="0"/>
              <w:spacing w:before="0" w:after="283"/>
              <w:jc w:val="left"/>
              <w:rPr/>
            </w:pPr>
            <w:r>
              <w:rPr/>
              <w:t> </w:t>
            </w:r>
          </w:p>
        </w:tc>
        <w:tc>
          <w:tcPr>
            <w:tcW w:w="501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Warrants to purchase Ordinary Shares</w:t>
            </w:r>
          </w:p>
        </w:tc>
      </w:tr>
      <w:tr>
        <w:trPr/>
        <w:tc>
          <w:tcPr>
            <w:tcW w:w="19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Name of Selling Security Holder</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Beneficially </w:t>
              <w:br/>
              <w:t xml:space="preserve">Owned </w:t>
              <w:br/>
              <w:t xml:space="preserve">Prior to </w:t>
              <w:br/>
              <w:t>Offering</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Registered </w:t>
              <w:br/>
              <w:t xml:space="preserve">for Sale </w:t>
              <w:br/>
              <w:t>Hereby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Beneficially </w:t>
              <w:br/>
              <w:t xml:space="preserve">Owned After </w:t>
              <w:br/>
              <w:t>Offering</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Percent </w:t>
              <w:br/>
              <w:t xml:space="preserve">Owned </w:t>
              <w:br/>
              <w:t xml:space="preserve">After </w:t>
              <w:br/>
              <w:t>Offering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Beneficially </w:t>
              <w:br/>
              <w:t xml:space="preserve">Owned </w:t>
              <w:br/>
              <w:t xml:space="preserve">Prior to </w:t>
              <w:br/>
              <w:t>Offering</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Registered </w:t>
              <w:br/>
              <w:t xml:space="preserve">for Sale </w:t>
              <w:br/>
              <w:t>Hereby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Beneficially </w:t>
              <w:br/>
              <w:t xml:space="preserve">Owned After </w:t>
              <w:br/>
              <w:t>Offering</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Percent </w:t>
              <w:br/>
              <w:t xml:space="preserve">Owned </w:t>
              <w:br/>
              <w:t xml:space="preserve">After </w:t>
              <w:br/>
              <w:t>Offering</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Georges-Olivier Reymond</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22,231,152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22,367,569</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Loïc Henriet</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4,283,671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8,599,764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Wasiq Bokhari</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6,555,762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15,131,063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Entities affiliated with Quantonation</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24,448,402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24,448,402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Entities affiliated with Bpifrance Investissement S.A.S.</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24,480,841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26,391,784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Entities affiliated with Temasek</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11,873,655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11,873,655</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EIC Fund</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14,510,094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14,510,094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Alain Aspect</w:t>
            </w:r>
            <w:r>
              <w:rPr>
                <w:rFonts w:ascii="Times New Roman PS Std;serif" w:hAnsi="Times New Roman PS Std;serif"/>
                <w:b w:val="false"/>
                <w:i w:val="false"/>
                <w:caps w:val="false"/>
                <w:smallCaps w:val="false"/>
                <w:sz w:val="12"/>
              </w:rPr>
              <w:t>(9)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973,107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973,107</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Antoine Browaeys</w:t>
            </w:r>
            <w:r>
              <w:rPr>
                <w:rFonts w:ascii="Times New Roman PS Std;serif" w:hAnsi="Times New Roman PS Std;serif"/>
                <w:b w:val="false"/>
                <w:i w:val="false"/>
                <w:caps w:val="false"/>
                <w:smallCaps w:val="false"/>
                <w:sz w:val="12"/>
              </w:rPr>
              <w:t>(10)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9,839,930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9,839,930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Andrew Gundlach</w:t>
            </w:r>
            <w:r>
              <w:rPr>
                <w:rFonts w:ascii="Times New Roman PS Std;serif" w:hAnsi="Times New Roman PS Std;serif"/>
                <w:b w:val="false"/>
                <w:i w:val="false"/>
                <w:caps w:val="false"/>
                <w:smallCaps w:val="false"/>
                <w:sz w:val="12"/>
              </w:rPr>
              <w:t>(11)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80,233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80,233</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ASG 2019 IRRV TR</w:t>
            </w:r>
            <w:r>
              <w:rPr>
                <w:rFonts w:ascii="Times New Roman PS Std;serif" w:hAnsi="Times New Roman PS Std;serif"/>
                <w:b w:val="false"/>
                <w:i w:val="false"/>
                <w:caps w:val="false"/>
                <w:smallCaps w:val="false"/>
                <w:sz w:val="12"/>
              </w:rPr>
              <w:t>(11)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3,931,433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3,931,433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1,470,000</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MC Advisory L.L.C. – FZ</w:t>
            </w:r>
            <w:r>
              <w:rPr>
                <w:rFonts w:ascii="Times New Roman PS Std;serif" w:hAnsi="Times New Roman PS Std;serif"/>
                <w:b w:val="false"/>
                <w:i w:val="false"/>
                <w:caps w:val="false"/>
                <w:smallCaps w:val="false"/>
                <w:sz w:val="12"/>
              </w:rPr>
              <w:t>(12)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4,011,667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4,011,667</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Inflection Point Fund I LP</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15,890,625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26,400,808</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Science &amp; Technology Partners Master, L.P.</w:t>
            </w:r>
            <w:r>
              <w:rPr>
                <w:rFonts w:ascii="Times New Roman PS Std;serif" w:hAnsi="Times New Roman PS Std;serif"/>
                <w:b w:val="false"/>
                <w:i w:val="false"/>
                <w:caps w:val="false"/>
                <w:smallCaps w:val="false"/>
                <w:sz w:val="12"/>
              </w:rPr>
              <w:t>(14)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4,046,875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5,002,346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Continental General Insurance Company</w:t>
            </w:r>
            <w:r>
              <w:rPr>
                <w:rFonts w:ascii="Times New Roman PS Std;serif" w:hAnsi="Times New Roman PS Std;serif"/>
                <w:b w:val="false"/>
                <w:i w:val="false"/>
                <w:caps w:val="false"/>
                <w:smallCaps w:val="false"/>
                <w:sz w:val="12"/>
              </w:rPr>
              <w:t>(15)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8,994,791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15,016,423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666,666</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Marcello J. Padula</w:t>
            </w:r>
            <w:r>
              <w:rPr>
                <w:rFonts w:ascii="Times New Roman PS Std;serif" w:hAnsi="Times New Roman PS Std;serif"/>
                <w:b w:val="false"/>
                <w:i w:val="false"/>
                <w:caps w:val="false"/>
                <w:smallCaps w:val="false"/>
                <w:sz w:val="12"/>
              </w:rPr>
              <w:t>(16)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Robert Folino</w:t>
            </w:r>
            <w:r>
              <w:rPr>
                <w:rFonts w:ascii="Times New Roman PS Std;serif" w:hAnsi="Times New Roman PS Std;serif"/>
                <w:b w:val="false"/>
                <w:i w:val="false"/>
                <w:caps w:val="false"/>
                <w:smallCaps w:val="false"/>
                <w:sz w:val="12"/>
              </w:rPr>
              <w:t>(17)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Katherine Savitt</w:t>
            </w:r>
            <w:r>
              <w:rPr>
                <w:rFonts w:ascii="Times New Roman PS Std;serif" w:hAnsi="Times New Roman PS Std;serif"/>
                <w:b w:val="false"/>
                <w:i w:val="false"/>
                <w:caps w:val="false"/>
                <w:smallCaps w:val="false"/>
                <w:sz w:val="12"/>
              </w:rPr>
              <w:t>(18)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Antoine Theysset</w:t>
            </w:r>
            <w:r>
              <w:rPr>
                <w:rFonts w:ascii="Times New Roman PS Std;serif" w:hAnsi="Times New Roman PS Std;serif"/>
                <w:b w:val="false"/>
                <w:i w:val="false"/>
                <w:caps w:val="false"/>
                <w:smallCaps w:val="false"/>
                <w:sz w:val="12"/>
              </w:rPr>
              <w:t>(19)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Clemence Rasigni</w:t>
            </w:r>
            <w:r>
              <w:rPr>
                <w:rFonts w:ascii="Times New Roman PS Std;serif" w:hAnsi="Times New Roman PS Std;serif"/>
                <w:b w:val="false"/>
                <w:i w:val="false"/>
                <w:caps w:val="false"/>
                <w:smallCaps w:val="false"/>
                <w:sz w:val="12"/>
              </w:rPr>
              <w:t>(20)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Encore Issuances S.A., acting in respect of its Compartment 204</w:t>
            </w:r>
            <w:r>
              <w:rPr>
                <w:rFonts w:ascii="Times New Roman PS Std;serif" w:hAnsi="Times New Roman PS Std;serif"/>
                <w:b w:val="false"/>
                <w:i w:val="false"/>
                <w:caps w:val="false"/>
                <w:smallCaps w:val="false"/>
                <w:sz w:val="12"/>
              </w:rPr>
              <w:t>(21)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745,336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745,336</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Clear Street LLC</w:t>
            </w:r>
            <w:r>
              <w:rPr>
                <w:rFonts w:ascii="Times New Roman PS Std;serif" w:hAnsi="Times New Roman PS Std;serif"/>
                <w:b w:val="false"/>
                <w:i w:val="false"/>
                <w:caps w:val="false"/>
                <w:smallCaps w:val="false"/>
                <w:sz w:val="12"/>
              </w:rPr>
              <w:t>(22)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Nicolas Salloum</w:t>
            </w:r>
            <w:r>
              <w:rPr>
                <w:rFonts w:ascii="Times New Roman PS Std;serif" w:hAnsi="Times New Roman PS Std;serif"/>
                <w:b w:val="false"/>
                <w:i w:val="false"/>
                <w:caps w:val="false"/>
                <w:smallCaps w:val="false"/>
                <w:sz w:val="12"/>
              </w:rPr>
              <w:t>(23)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15,915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15,915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Lionel Martellini</w:t>
            </w:r>
            <w:r>
              <w:rPr>
                <w:rFonts w:ascii="Times New Roman PS Std;serif" w:hAnsi="Times New Roman PS Std;serif"/>
                <w:b w:val="false"/>
                <w:i w:val="false"/>
                <w:caps w:val="false"/>
                <w:smallCaps w:val="false"/>
                <w:sz w:val="12"/>
              </w:rPr>
              <w:t>(24)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18,484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18,484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S.A.G.E.S. (Société Auxiliaire de gestion)</w:t>
            </w:r>
            <w:r>
              <w:rPr>
                <w:rFonts w:ascii="Times New Roman PS Std;serif" w:hAnsi="Times New Roman PS Std;serif"/>
                <w:b w:val="false"/>
                <w:i w:val="false"/>
                <w:caps w:val="false"/>
                <w:smallCaps w:val="false"/>
                <w:sz w:val="12"/>
              </w:rPr>
              <w:t>(25)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81,463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81,463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Cyrus Colmcille Claffey</w:t>
            </w:r>
            <w:r>
              <w:rPr>
                <w:rFonts w:ascii="Times New Roman PS Std;serif" w:hAnsi="Times New Roman PS Std;serif"/>
                <w:b w:val="false"/>
                <w:i w:val="false"/>
                <w:caps w:val="false"/>
                <w:smallCaps w:val="false"/>
                <w:sz w:val="12"/>
              </w:rPr>
              <w:t>(26)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103,494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103,494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The Denise and Michael Kellen Foundation, Inc.</w:t>
            </w:r>
            <w:r>
              <w:rPr>
                <w:rFonts w:ascii="Times New Roman PS Std;serif" w:hAnsi="Times New Roman PS Std;serif"/>
                <w:b w:val="false"/>
                <w:i w:val="false"/>
                <w:caps w:val="false"/>
                <w:smallCaps w:val="false"/>
                <w:sz w:val="12"/>
              </w:rPr>
              <w:t>(27)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784,647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784,647</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Alyeska Master Fund, L.P.</w:t>
            </w:r>
            <w:r>
              <w:rPr>
                <w:rFonts w:ascii="Times New Roman PS Std;serif" w:hAnsi="Times New Roman PS Std;serif"/>
                <w:b w:val="false"/>
                <w:i w:val="false"/>
                <w:caps w:val="false"/>
                <w:smallCaps w:val="false"/>
                <w:sz w:val="12"/>
              </w:rPr>
              <w:t>(28)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10,938,371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53,183,654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Alto Opportunity Master Fund, SPC – Segregated Master Portfolio B</w:t>
            </w:r>
            <w:r>
              <w:rPr>
                <w:rFonts w:ascii="Times New Roman PS Std;serif" w:hAnsi="Times New Roman PS Std;serif"/>
                <w:b w:val="false"/>
                <w:i w:val="false"/>
                <w:caps w:val="false"/>
                <w:smallCaps w:val="false"/>
                <w:sz w:val="12"/>
              </w:rPr>
              <w:t>(29)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4,687,500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8,509,385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Runa Capital Fund III, L.P.</w:t>
            </w:r>
            <w:r>
              <w:rPr>
                <w:rFonts w:ascii="Times New Roman PS Std;serif" w:hAnsi="Times New Roman PS Std;serif"/>
                <w:b w:val="false"/>
                <w:i w:val="false"/>
                <w:caps w:val="false"/>
                <w:smallCaps w:val="false"/>
                <w:sz w:val="12"/>
              </w:rPr>
              <w:t>(30)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18,961,944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18,961,944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Cohen &amp; Company Securities, LLC</w:t>
            </w:r>
            <w:r>
              <w:rPr>
                <w:rFonts w:ascii="Times New Roman PS Std;serif" w:hAnsi="Times New Roman PS Std;serif"/>
                <w:b w:val="false"/>
                <w:i w:val="false"/>
                <w:caps w:val="false"/>
                <w:smallCaps w:val="false"/>
                <w:sz w:val="12"/>
              </w:rPr>
              <w:t>(31)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2,612,500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2,612,500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2,612,500</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2,612,500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Investiqo SAS</w:t>
            </w:r>
            <w:r>
              <w:rPr>
                <w:rFonts w:ascii="Times New Roman PS Std;serif" w:hAnsi="Times New Roman PS Std;serif"/>
                <w:b w:val="false"/>
                <w:i w:val="false"/>
                <w:caps w:val="false"/>
                <w:smallCaps w:val="false"/>
                <w:sz w:val="12"/>
              </w:rPr>
              <w:t>(32)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12,382,286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12,382,286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Indicates beneficial ownership of less than 1% of our Ordinary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principal business address of each of the following individuals is c/o Pasqal Holding SA, 24, rue Emile Baudot 91120 Palaiseau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Mr. Reymond is a director of New Pasqal. The securities registered for resale consists of 22,367,569 New Pasqal Ordinary Shares, consisting of (i) 22,185,680 New Pasqal Ordinary Shares acquired in the Business Combination and (ii) a maximum of 181,889 New Pasqal Ordinary Shares underlying BSPCEs. Mr. Reymond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Dr. Henriet is the Chief Technology Officer of New Pasqal. The securities registered for resale consists of (i) 1,034,244 New Pasqal Ordinary Shares and (ii) a maximum of 7,565,520 New Pasqal shares underlying BSPCEs. Dr. Henriet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Dr. Bokhari is the Chief Executive Officer and a director of New Pasqal. The securities registered for resale consists of a maximum of 15,131,063 New Pasqal shares underlying BSPCEs held by Dr. Bokhari. Dr. Bokhari has sole voting and dispositive power over the New Pasqal Ordinary Shares disclosed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(i) 21,924,691 shares held by QUANTONATION 1, a French fonds professionnel de capital investissement having its registered office located at 58, rue d’Hauteville — 75010 Paris under registration with the French Market Authority under number GP-202211 and represented by Quantonation Ventures SAS, a French société par actions simplifiée having its registered office located at 58, rue d’Hauteville — 75010 Paris, registered with the Paris Trade and Companies Register under number 849 813 522, itself represented by Mr. Olivier Tonneau, (ii) 322,853 New Pasqal Ordinary Shares held by Quantonation Co-Investment SPV I, LLC and (iii) 2,200,858 shares held by FPCI Quantonation Co-Investment SPV II, LLC. QUANTONATION 1, Quantonation Co-Investment SPV I, LLC and FPCI Quantonation Co-Investment SPV II are managed by QUANTONATION VENTURES SAS, their management company, which is the sole decision maker. QUANTONATION VENTURES SAS’s beneficial owner is its president, Mr Christophe JURCZAK. The address for the Quantonation entities is 58, rue d’Hauteville — 75010 Paris, France. Over the past three (3) years Quantonation 1, together with FPCI Quantonation Co-Investment SPV II and Quantonation Co-Investment SPV I LLC, had the right to appoint a board member under a Shareholders’ Agreement with Legacy Pasqal.</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 shares registered hereby consist of (x) 15,936,582 New Pasqal Ordinary Shares held by FPS Fonds Innovation Défense and (y) 6,200,510 New Pasqal Ordinary Shares held by FPS Bpifrance Innovation I, Compartiment B Large Venture 2 (together, the “Bpifrance Funds”). Each of the Bpifrance Funds is a French fonds d’investissement professionnel spécialisé, represented by its management company, Bpifrance Investissement S.A.S., a French société par actions simplifiée having its registered office located at 27-31, avenue du Général Leclerc, 94710 Maisons-Alfort Cedex, registered with the Créteil Trade and Companies Registry under number 433 975 224. Bpifrance Investissement S.A.S., as management company of each of the Bpifrance Funds, has sole voting and dispositive power over the New Pasqal Ordinary Shares disclosed herein and may be deemed to beneficially own such shares. Bpifrance Investissement S.A.S. is a wholly-owned subsidiary of Bpifrance Participations, which is itself a wholly-owned subsidiary of Bpifrance S.A., which is jointly controlled by the French State and the Caisse des Dépôts et Consignations, each having its principal business address at 27-31, avenue du Général Leclerc, 94710 Maisons-Alfort Cedex, France. The shares reported for the Bpifrance Funds also include (i) 2,251,487 New Pasqal Ordinary Shares estimated to be issued to FPS Bpifrance Innovation I, Compartiment B Large Venture 2 pursuant to the terms of the Senior Unsecured Convertible Bonds it holds, at the floor conversion price of $7.80 and assuming three years of PIK interest accrued and added to the principal of the Senior Unsecured Convertible Bonds, and (ii) 2,003,205 New Pasqal Ordinary Shares issuable upon exercise of the Investment Warrants it holds assuming an exercise price of $7.80 pursuant to the terms of the Investment Warrants. Bpifrance has the right to designate one member of the New Pasqal Board which right was documented in the Bpifrance Board Representation Letter entered into at the Closing. The board seat designated by Bpifrance is held by a legal entity (personne morale), which, in accordance with French law, has appointed Nicolas Berdou as its permanent representative (représentant permanent), whose business address is 6-8, Boulevard Haussmann, 75009 Paris,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10,504,462 New Pasqal Ordinary Shares held by Franklin Investments Pte. Ltd (Temasek) (“Franklin”), a Singaporean private company limited by shares with unique entity number (UEN) 201628627C and a wholly-owned subsidiary of Temasek Holdings (Private) Limited (“Temasek”) by which Temasek may be deemed to beneficially own the shares held by Franklin by virtue of its ownership and control of Franklin and (ii) 1,369,193 New Pasqal Ordinary Shares held by Rosa Investments Pte. Ltd., a wholly-owned subsidiary of Temasek. The address of each entity is 60B Orchard Road, #06-18 The Atrium@Orchard, Singapore 238891. Maynard Kang, a director at Temasek, has served as a director of Pasqal Holding SAS.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Alter Domus Management Company S.A. serves as the alternative investment fund manager of EIC Fund. The principal business address of EIC Fund is 15, Boulevard Friedrich Wilhelm Raiffeisen, L-2411 Luxembourg. EIC Fund has the right to designate one member of the New Pasqal Board, which right was documented in the EIC Board Representation Letter entered into at the Closing. The board seat designated by EIC Fund is initially held by Jean Raby.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973,107 New Pasqal Ordinary Shares acquired by Mr. Aspect in the Business Combination. Mr. Aspect currently serves as the Non-Executive Chair of the New Pasqal Board. Mr. Aspect is one of the founders of Legacy Pasqal and served as Chair of Legacy Pasqal’s Scientific Advisory Board. Mr. Aspect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9,839,930 New Pasqal Ordinary Shares acquired by Dr. Browaeys in the Business Combination. Dr. Browaeys is a co-founder of Legacy Pasqal and has previously served as a director of Pasqal Holding SAS.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The shares disclosed for Mr. Gundlach consist of 50,233 New Pasqal Ordinary Shares and 30,000 New Pasqal Ordinary Shares underlying 30,000 New Pasqal Warrants that were formerly Bleichroeder private placement warrants held in his personal capacity. The New Pasqal Ordinary Shares disclosed for ASG 2019 IRRV TR consist of 2,461,433 New Pasqal Ordinary Shares and 1,470,000 New Pasqal Ordinary Shares underlying 1,470,000 New Pasqal Warrants that were formerly Bleichroeder private placement warrants held of record by ASG 2019 IRRV TR. Mr. Gundlach holds voting and investment discretion with respect to the securities held of record by ASG 2019 IRRV TR. Mr. Gundlach disclaims any beneficial ownership of the securities held by ASG 2019 IRRV TR other than to the extent of any pecuniary interest he may have therein, directly or indirectly. Mr. Gundlach was formerly CEO and executive chairman of Bleichroeder Acquisition Corp. II and is currently a director of New Pasqal.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The shares disclosed for MC Advisory L.L.C.- FZ consist of (1) 2,511,667 New Pasqal Ordinary Shares and (2) 1,500,000 New Pasqal ordinary shares underlying 1,500,000 New Pasqal Warrants that were formerly Bleichroeder private placement warrants. Mr. Combes is the manager of MC Advisory and may be deemed to beneficially own such securities. Mr. Combes disclaims beneficial ownership of such securities except to the extent of any pecuniary interest therein. Mr. Combes was the co-founder of Bleichroeder Acquisition Corp. II and is the lead independent director of the New Pasqal board of directors.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Securities registered hereby consists of (i) 2,000,000 New Pasqal Ordinary Shares, (ii) 1,000,000 New Pasqal Ordinary Shares underlying New Pasqal Warrants that were formerly Bleichoeder private placement warrants, (iii) 12,383,179 shares of New Pasqal Ordinary Shares estimated to be issued to Inflection Point Fund pursuant to the terms of the Senior Unsecured Convertible Bond it holds, assuming a conversion price of $7.80, (iv) 11,017,628 shares of New Pasqal Ordinary Shares issuable upon exercise of the Investment Warrants and (v) 1,000,000 Private Placement Warrants. Inflection Point Asset Management LLC and Inflection Point GP I LLC are the investment manager and general partner, respectively, of Inflection Point. Voting and dispositive power over securities beneficially owned by Inflection Point are vested in an investment committee of three members, including Michael Blitzer, a director of New Pasqal, Kevin Shannon, who assisted New Pasqal with the Business Combination, and a third individual who does not have, and has not had during the past three years, any relationship with New Pasqal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In connection with the March 2026 Financing, certain investors led by Inflection Point Fund had the right to designate a nominee to be included as one of the directors that Bleichroeder was entitled to designate to the New Pasqal Board under the Business Combination Agreement. Michael Blitzer, the founder and managing partner of Inflection Point Asset Management LLC, serves as a director of New Pasqal.</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Securities registered hereby consists of (i) 1,875,000 New Pasqal Ordinary Shares held of record by Science &amp; Technology Partners Master, L.P., (ii) 1,000,000 New Pasqal Ordinary Shares underlying New Pasqal Warrants held of record by Science &amp; Technology Partners Master, L.P. that were formerly Bleichoeder private placement warrants, (iii) 1,125,744 shares of New Pasqal Ordinary Shares estimated to be issued to Science &amp; Technology Partners, L.P. pursuant to the terms of the Senior Unsecured Convertible Bond it holds, assuming a conversion price of $7.80, (iv) 1,001,603 shares of New Pasqal Ordinary Shares issuable upon exercise of the Investment Warrants and (v) 1,000,000 Private Placement Warrants. The address of Science &amp; Technology Partners Master, L.P. is 660 Steamboat Rd, Greenwich, CT 06830.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Ordinary Shares registered hereby consists of (i) 125,000 New Pasqal Ordinary Shares held of record by Continental General Insurance Company, (ii) 7,880,205 shares of New Pasqal Ordinary Shares estimated to be issued to Continental General Insurance Company pursuant to the terms of the Senior Unsecured Convertible Bond it holds, assuming a conversion price of $7.80 and (iv) 7,011,218 shares of New Pasqal Ordinary Shares issuable upon exercise of the Investment Warrants. The beneficial ownership described herein includes 666,666 New Pasqal Ordinary Shares underlying 666,666 Public Warrants. Continental General Insurance Company (CGIC) is wholly owned by Continental Insurance Group LTD. (CIG). CIG is wholly owned by Continental General Holdings LLC (CGH). CGH is wholly owned by Michael Gorzynski. The address of CGIC is 11001 Lakeline Blvd., Ste. 120, Austin, Texas 78717.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Mr. Padulla was the CEO of Bleichroeder Acquisition Corp. II, which merged with and into New Pasqal in connection with the Business Combination. Consists of 300,000 New Pasqal Ordinary Shares which Mr. Padulla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Mr. Folino was the CFO of Bleichroeder Acquisition Corp. II, which merged with and into New Pasqal in connection with the Business Combination. Consists of 200,000 New Pasqal Ordinary Shares which Mr. Folino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Ms. Savitt was a director of Bleichroeder Acquisition Corp. II, which merged with and into New Pasqal in connection with the Business Combination. Consists of 30,000 New Pasqal Ordinary Shares which Ms. Savitt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Mr. Theysset was a director of Bleichroeder Acquisition Corp. II, which merged with and into New Pasqal in connection with the Business Combination. Consists of 15,000 New Pasqal Ordinary Shares which Mr. Theysset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Ms. Rasigni was a director of Bleichroeder Acquisition Corp. II, which merged with and into New Pasqal in connection with the Business Combination. Consists of 15,000 New Pasqal Ordinary Shares which Ms. Rasigni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Encore Issuances S.A. acting in respect of its Compartment 204 is the beneficial owner of the securities to be sold and it holds the securities of record and has voting power and investment power in respect of them. The address of Encore is 28, Boulevard F.W. Raiffeisen L-2411 Luxembourg, Grand Duchy of Luxembourg.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Number of Ordinary Shares being registered for sale hereby represents 137,500 Ordinary Shares that are issuable upon the exercise of New Pasqal Warrants that were formerly Bleichroeder private placement warrants. Number of warrants being registered for sale hereby represents 137,500 New Pasqal Warrants that were formerly Bleichroeder private placement warrants. Clear Street is a registered broker dealer and has informed the Company that it does not have any written or oral agreement or understanding, directly or indirectly, with any person to distribute any Ordinary Shares. The principal address of Clear Street is: 4 World Trade Center, 150 Greenwich St., Floor 45, New York, NY 10007.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The business address of Mr. Salloum is 34 Chemin des Rubiettes, 1222 Vesenaz, Switzerland.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The business address of Mr. Martellini is 66 chemin de la Brague 06410 Biot,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The business address of S.A.G.E.S. (Société Auxiliaire de gestion) is 16 rue Valentin Hauy, 63000 Clermont Ferrand,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The business address of Mr. Claffey is 12 Fisher Road Truro, MA 02666.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    The business address of the Denise and Michael Kellen Foundation, Inc. is 1345 Avenue of the Americas, 47th Floor New York, NY 10105.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    The beneficial ownership described herein reflects an aggregate of 10,938,371 New Pasqal Ordinary Shares underlying the Senior Unsecured Convertible Bonds and the Investment Warrants (rather than the 29,296,874 New Pasqal Ordinary Shares underlying the Senior Unsecured Convertible Bond and Investment Warrants assuming the initial conversion price of $12.00) as the Senior Unsecured Convertible Bonds and the Investment Warrants are subject to certain beneficial ownership restrictions which include a 4.9% blocker which, for the avoidance of doubt, can be increased or decreased from time to time upon notice to the Company, with such increase or decrease becoming effective upon the 61st day after such notice is delivered to the Company. The Ordinary Shares registered hereby consist of (i) 28,143,590 shares of New Pasqal Ordinary Shares estimated to be issued pursuant to the terms of the Senior Unsecured Convertible Bond, assuming a conversion price of $7.80 and (iv) 25,040,064 shares of New Pasqal Ordinary Shares issuable upon exercise of the Investment Warrants assuming a conversion price of $7.80. The address of the Selling Shareholder is c/o Maples Corporate Services Limited, P.O. Box 309, Ugland House, South Church Street, George Town, Grand Cayman, KY1-1104 Cayman Islands, British West Indies.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    Ordinary Shares registered hereby consists of (i) 4,502,974 shares of New Pasqal Ordinary Shares estimated to be issued to Alto Opportunity Master Fund, SPC — Segregated Master Portfolio B pursuant to the terms of the Senior Unsecured Convertible Bond it holds, assuming a conversion price of $7.80 and (iv) 4,006,410 shares of New Pasqal Ordinary Shares issuable upon exercise of the Investment Warrants. The Senior Unsecured Convertible Bonds and the Investment Warrants are subject to certain beneficial ownership restrictions which include a 9.9% blocker which, for the avoidance of doubt, can be increased or decreased from time to time upon notice to the Company, with such increase or decrease becoming effective upon the 61st day after such notice is delivered to the Company.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in his capacity as Managing Member of Ayrton Capital LLC, may also be deemed to have investment discretion and voting power over the shares held by Alto Opportunity Master Fund, SPC — Segregated Master Portfolio B. Ayrton Capital LLC and Mr. Khatri each disclaim any beneficial ownership of these shares. The address of the Selling Shareholder is c/o Ayrton Capital, LP, 55 Post Rd West, 2nd Floor, Westport, CT 06880.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    Runa Capital Fund III, L.P. is an exempted limited partnership organized under the laws of the Cayman Islands, having its registered office at 4th Floor, Harbour Place, 103 South Church Street, Grand Cayman KY1-1102, Cayman Islands, whose identification number is HS-100958. Runa Capital Fund III, L.P. is represented by its general partner Runa Capital III (GP) who has the sole voting and dispositive power over the New Pasqal Ordinary Shares disclosed herein. All investment and voting decisions relating to the New Pasqal Ordinary Shares by Runa Capital III (GP) are made by its investment committee. The investment committee is comprised of Andrey Bliznyuk, Dmitry Chikhachev, Dmitry Galperin and Ilya Zubarev. Voting and investment decisions of the investment committee requires an affirmative vote of at least three of the foregoing individuals. Accordingly, none of the individuals is deemed a beneficial owner of the New Pasqal Ordinary Shares under the so-called “rule of three”.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(31)    Number of Ordinary Shares being registered for sale hereby represents 2,612,500 Ordinary Shares that are issuable upon the exercise of New Pasqal Warrants that were formerly Bleichroeder private placement warrants. Number of warrants being registered for sale hereby represents 2,612,500 New Pasqal Warrants that were formerly Bleichroeder private placement warrants. Cohen &amp; Company Securities, LLC (“CCS”) is the record owner of the Securities. Jerry Serowik, Senior Managing Director, Head of Cohen &amp; Company Capital Markets (“CCM”), a division of Cohen &amp; Company Securities, LLC, has investment control over the Securities, exercises voting and/or dispositive power over the shares held by CCS. Mr. Serowik disclaims beneficial ownership over any securities held by the Selling Shareholder in which he does not have any pecuniary interest. CCS is a registered broker dealer and has informed the Company that it does not have any written or oral agreement or understanding, directly or indirectly, with any person to distribute any Ordinary Shares. The principal address of Cohen &amp; Company Securities, LLC is: 2929 Arch Street, Suite 1703, Philadelphia PA, 19104, United States.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    Investiqo SAS is a French société par actions simplifiée having its registered office located at 7, avenue de la Grande Armée — 75116 Paris, registered with the Paris Trade and Companies Register under the number 848 432 134, represented by Mr. Christophe Jurczak. Investiqo SAS has sole voting and dispositive power over the New Pasqal Ordinary Shares disclosed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117"/>
      <w:bookmarkEnd w:id="16"/>
      <w:r>
        <w:rPr>
          <w:rFonts w:ascii="Times New Roman PS Std;serif" w:hAnsi="Times New Roman PS Std;serif"/>
          <w:b/>
          <w:i w:val="false"/>
          <w:caps w:val="false"/>
          <w:smallCaps w:val="false"/>
          <w:sz w:val="20"/>
        </w:rPr>
        <w:t xml:space="preserve">DESCRIPTION OF OUR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Your rights as shareholders of New Pasqal will be governed by the laws of France and the New Pasqal’s Articles of Association. The following description of the material terms of New Pasqal’s share capital, including Ordinary Shares issued in the Business Combination, reflects the state of affairs upon completion of the Business Combination. We urge you to read the applicable provisions of French law and New Pasqal’s Articles of Association carefully and in their entirety because they describe your rights as a holder of Ordinary Shares.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New Pasqal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Pasqal’s Articles of Association provide that the share capital is divided into New Pasqal Ordinary Shares with a par value of approximately €0.02 per share, fully paid up. As of the date hereof, there were 212,293,691 Ordinary Shares outstanding. All shares presently issued are fully paid. In connection with the Business Combination, Bleichroeder shareholders approved a delegation of authority to the New Pasqal Board, to (i) increase or decrease New Pasqal’s authorized share capital, for a period of up to twenty-six (26) months following the Closing, and (ii) reduce the par value of the New Pasqal Ordinary Shares, for a period of up to twelve (12) months following the Closing, in each case subject to applicable French law and the limitations set forth in the New Pasqal Articles of Association.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by law, each holder of a New Pasqal Ordinary Share shall be entitled to vote on each matter submitted to a vote of shareholders and shall be entitled to one (1) vote for each New Pasqal Ordinary Share held of record by such holder as of the record date for determining shareholders entitled to vote on such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law or the New Pasqal Articles of Association, each holder of a New Pasqal Ordinary Share shall be entitled to one vote per share at all general meetings of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law and the New Pasqal Articles of Association currently do not impose any limitations on the rights of persons who are not residents of France to hold or vote shares solely as a result of such non-resident status.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Dividend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terms for dividends approved by the general meeting of shareholders are determined by the general meeting of shareholders or, failing that, by the Board of Directors. However, cash dividends must be paid within a maximum of nine months after the close of the financial year, unless this period is extended by court order.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general meeting of shareholders may grant each shareholder, for all or part of any dividend to be distributed, the option of receiving payment in cash or shares, in accordance with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balance sheet prepared during or at the end of the financial year and certified by an auditor shows that New Pasqal, since the close of the previous financial year, after setting aside the necessary depreciation and provisions, and after deducting any prior losses and amounts to be allocated to reserves in accordance with applicable laws, regulations, or the bylaws, and taking into account retained earnings, has made a profit, interim dividends may be distributed before the financial statements for the year are approved. The amount of these advance payments cannot exceed the amount of the profit as defined above.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Liquidation and Dissolution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legal provisions, New Pasqal is in liquidation from the moment of its dissolution, regardless of the cause. The shareholders’ general meeting then determines the liquidation procedure and appoints the liquidator(s). New Pasqal’s legal personality continues for the purposes of its liquidation, until its completion.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settlement of liabilities and reimbursement of capital, and in accordance with French law, any surplus shall be distributed among shareholders pro rata to their rights to profits, unless otherwise provided.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II.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immediately prior to the Reincorporation Merger Effective Time, the Warrant Agreement dated January 7, 2026, by and between Bleichroeder and Continental Stock Transfer &amp; Trust Company was amended (the “</w:t>
      </w:r>
      <w:r>
        <w:rPr>
          <w:rFonts w:ascii="Times New Roman PS Std;serif" w:hAnsi="Times New Roman PS Std;serif"/>
          <w:b/>
          <w:i w:val="false"/>
          <w:caps w:val="false"/>
          <w:smallCaps w:val="false"/>
          <w:sz w:val="20"/>
        </w:rPr>
        <w:t>Warrant Amendment Agreement</w:t>
      </w:r>
      <w:r>
        <w:rPr>
          <w:rFonts w:ascii="Times New Roman PS Std;serif" w:hAnsi="Times New Roman PS Std;serif"/>
          <w:b w:val="false"/>
          <w:i w:val="false"/>
          <w:caps w:val="false"/>
          <w:smallCaps w:val="false"/>
          <w:sz w:val="20"/>
        </w:rPr>
        <w:t>”) to include New Pasqal, as successor in interest to Bleichroeder, to include Computershare Inc. and Computershare Trust Company, N.A. as successor warrant agent, and to provide that each whole warrant under the Warrant Amendment Agreement (a “</w:t>
      </w:r>
      <w:r>
        <w:rPr>
          <w:rFonts w:ascii="Times New Roman PS Std;serif" w:hAnsi="Times New Roman PS Std;serif"/>
          <w:b/>
          <w:i w:val="false"/>
          <w:caps w:val="false"/>
          <w:smallCaps w:val="false"/>
          <w:sz w:val="20"/>
        </w:rPr>
        <w:t>New Pasqal Warrant</w:t>
      </w:r>
      <w:r>
        <w:rPr>
          <w:rFonts w:ascii="Times New Roman PS Std;serif" w:hAnsi="Times New Roman PS Std;serif"/>
          <w:b w:val="false"/>
          <w:i w:val="false"/>
          <w:caps w:val="false"/>
          <w:smallCaps w:val="false"/>
          <w:sz w:val="20"/>
        </w:rPr>
        <w:t>”) entitles the registered New Pasqal Warrant holder to purchase one New Pasqal Ordinary Share at a price of $11.50 per share, subject to adjustment.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New Pasqal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currently outstanding an aggregate of 17,333,333 New Pasqal Warrants issued by New Pasqal in accordance with the laws of France that govern security issuances by French companies, which replaced the 9,583,333 Bleichroeder public warrants and 7,750,000 Bleichroeder private placement warrants that were outstanding prior to the consummation of the Business Combination. The New Pasqal Warrants are governed by the laws of the State of New York.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New Pasqal Warrant may be exercised during the exercise period (the “</w:t>
      </w:r>
      <w:r>
        <w:rPr>
          <w:rFonts w:ascii="Times New Roman PS Std;serif" w:hAnsi="Times New Roman PS Std;serif"/>
          <w:b/>
          <w:i w:val="false"/>
          <w:caps w:val="false"/>
          <w:smallCaps w:val="false"/>
          <w:sz w:val="20"/>
        </w:rPr>
        <w:t>Exercise Period</w:t>
      </w:r>
      <w:r>
        <w:rPr>
          <w:rFonts w:ascii="Times New Roman PS Std;serif" w:hAnsi="Times New Roman PS Std;serif"/>
          <w:b w:val="false"/>
          <w:i w:val="false"/>
          <w:caps w:val="false"/>
          <w:smallCaps w:val="false"/>
          <w:sz w:val="20"/>
        </w:rPr>
        <w:t>”) commencing on the date that is thirty (30) days following the consummation of the Business Combination, and terminating on the earliest to occur of (x) 5:00 p.m., New York City time on the date that is five (5) years after the date on which the Business Combination is consummated, (y) the liquidation of New Pasqal, and (z) with respect to a redemption, 5:00 p.m., New York City time on the redemption date.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Redemption of warrants for cash when the price per ordinary share equals or exceeds $18.00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the New Pasqal Warrants become exercisable, New Pasqal may, at its option, redeem the outstanding New Pasqal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New Pasqal Warrant, in the case of a cash redemption;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a minimum of 30 days’ prior written notice of redemption to each warrant holder (the “</w:t>
      </w:r>
      <w:r>
        <w:rPr>
          <w:rFonts w:ascii="Times New Roman PS Std;serif" w:hAnsi="Times New Roman PS Std;serif"/>
          <w:b/>
          <w:i w:val="false"/>
          <w:caps w:val="false"/>
          <w:smallCaps w:val="false"/>
          <w:sz w:val="20"/>
        </w:rPr>
        <w:t>Redemption Period</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reported last sale price of New Pasqal Ordinary Shares equals or exceeds $18.00 per share (as adjusted for stock splits, stock dividends, reorganizations and recapitalizations), for any 20 trading days within a 30 trading day period commencing at least 30 days after the completion of the Business Combination and ending on the third trading day prior to the date on which notice of redemption is given (the “</w:t>
      </w:r>
      <w:r>
        <w:rPr>
          <w:rFonts w:ascii="Times New Roman PS Std;serif" w:hAnsi="Times New Roman PS Std;serif"/>
          <w:b/>
          <w:i w:val="false"/>
          <w:caps w:val="false"/>
          <w:smallCaps w:val="false"/>
          <w:sz w:val="20"/>
        </w:rPr>
        <w:t>Measurement Period</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exercise the New Pasqal Warrants will be forfeited unless the New Pasqal Warrants are exercised prior to the redemption date. On and after the redemption date, a record holder of a New Pasqal Warrant will have no further rights except to receive the redemption price for such holder’s New Pasqal Warrant upon surrender of such New Pasqal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redeem New Pasqal Warrants as described above unless (i) a registration statement under the Securities Act covering the sale of the New Pasqal Ordinary Shares issuable upon exercise of New Pasqal Warrants is effective and a current prospectus relating to those New Pasqal Ordinary Shares is available throughout the Measurement Period and the 30-day redemption period or (ii) we require holders to exercise the New Pasqal Warrants on a “cashless basis”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New Pasqal elects to redeem all New Pasqal Warrants on a “cashless basis,” each holder will be required to surrender their New Pasqal Warrants in exchange for the number of New Pasqal Ordinary Shares equal to the quotient obtained by dividing (x) the product of the number of New Pasqal Ordinary Shares underlying the New Pasqal Warrants, multiplied by the excess of the “Fair Market Value” (as defined below), over the warrant price by (y) the Fair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Value. “Fair Market Value” means the average reported closing price of the New Pasqal Ordinary Shares for the ten trading days ending on the third trading day prior to the date on which the notice of redemption is sent to New Pasqal Warrant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foregoing conditions are satisfied and New Pasqal issues a notice of redemption of the New Pasqal Warrants, each New Pasqal Warrant holder will be entitled to exercise his, her or its New Pasqal Warrant at any time prior to the redemption date. However, the price of the New Pasqal Ordinary Shares may fall below the $18.00 redemption trigger price (as may be adjusted for adjustments to the number of shares issuable upon exercise or the exercise price of a New Pasqal Warrant), as well as below the $11.50 (for whole shares) New Pasqal Warrant exercise price, after the redemption notice is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New Pasqal Ordinary Shares will be issued upon exercise. If, upon exercise, a holder would be entitled to receive a fractional interest in a share, New Pasqal will round down to the nearest whole number of the number of New Pasqal Ordinary Shares to be issued to the holder. If, at the time of redemption, New Pasqal Warrants are exercisable for a security other than the New Pasqal Ordinary Shares pursuant to the Warrant Agreement as amended by the Warrant Amendment Agreement (for instance, if New Pasqal is not the surviving company in a merger), the New Pasqal Warrants may be exercised for such security. At such time as the New Pasqal Warrants become exercisable for a security other than the New Pasqal Ordinary Shares, New Pasqal (or the surviving company) will use its commercially reasonable efforts to register under the Securities Act the securities issuable upon the exercise of the New Pasqal Warrants.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Redemption Procedures at the option of a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a New Pasqal Warrant may notify New Pasqal in writing in the event it elects not to effect the exercise of such holder’s New Pasqal Warrant if giving effect to such exercise would result in such holder (together with its affiliates) or any “group” of which the holder or its affiliate is a member, would beneficially own more than 4.9% or 9.9% of the New Pasqal Ordinary Shares immediately after giving effect to such exercise.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Anti-Dilution Adjustments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1.      </w:t>
      </w:r>
      <w:r>
        <w:rPr>
          <w:rFonts w:ascii="Times New Roman PS Std;serif" w:hAnsi="Times New Roman PS Std;serif"/>
          <w:b w:val="false"/>
          <w:i/>
          <w:caps w:val="false"/>
          <w:smallCaps w:val="false"/>
          <w:sz w:val="20"/>
          <w:u w:val="single"/>
        </w:rPr>
        <w:t>Share Capitalizations; Sub-division</w:t>
      </w:r>
      <w:r>
        <w:rPr>
          <w:rFonts w:ascii="Times New Roman PS Std;serif" w:hAnsi="Times New Roman PS Std;serif"/>
          <w:b w:val="false"/>
          <w:i w:val="false"/>
          <w:caps w:val="false"/>
          <w:smallCaps w:val="false"/>
          <w:sz w:val="20"/>
        </w:rPr>
        <w:t>.    If the number of outstanding New Pasqal Ordinary Shares is increased by a share capitalization payable in New Pasqal Ordinary Shares, or by a sub-division of New Pasqal Ordinary Shares or other similar event, then on the effective date of such event, the number of New Pasqal Ordinary Shares issuable on exercise of each New Pasqal Warrant will increase in proportion to such increase in the outstanding New Pasqal Ordinary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2.      </w:t>
      </w:r>
      <w:r>
        <w:rPr>
          <w:rFonts w:ascii="Times New Roman PS Std;serif" w:hAnsi="Times New Roman PS Std;serif"/>
          <w:b w:val="false"/>
          <w:i/>
          <w:caps w:val="false"/>
          <w:smallCaps w:val="false"/>
          <w:sz w:val="20"/>
          <w:u w:val="single"/>
        </w:rPr>
        <w:t>Aggregation of Shares</w:t>
      </w:r>
      <w:r>
        <w:rPr>
          <w:rFonts w:ascii="Times New Roman PS Std;serif" w:hAnsi="Times New Roman PS Std;serif"/>
          <w:b w:val="false"/>
          <w:i w:val="false"/>
          <w:caps w:val="false"/>
          <w:smallCaps w:val="false"/>
          <w:sz w:val="20"/>
        </w:rPr>
        <w:t>.    If the number of outstanding New Pasqal Ordinary Shares is decreased by a consolidation, combination, reverse share sub-division or reclassification of New Pasqal Ordinary Shares or other similar event, then, on the effective date of such consolidation, combination, reverse share sub-division, reclassification or similar event, the number of New Pasqal Ordinary Shares issuable on exercise of each New Pasqal Warrant will decrease in proportion to such decrease in New Pasqal Ordinary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3.      </w:t>
      </w:r>
      <w:r>
        <w:rPr>
          <w:rFonts w:ascii="Times New Roman PS Std;serif" w:hAnsi="Times New Roman PS Std;serif"/>
          <w:b w:val="false"/>
          <w:i/>
          <w:caps w:val="false"/>
          <w:smallCaps w:val="false"/>
          <w:sz w:val="20"/>
          <w:u w:val="single"/>
        </w:rPr>
        <w:t>Extraordinary Dividends</w:t>
      </w:r>
      <w:r>
        <w:rPr>
          <w:rFonts w:ascii="Times New Roman PS Std;serif" w:hAnsi="Times New Roman PS Std;serif"/>
          <w:b w:val="false"/>
          <w:i w:val="false"/>
          <w:caps w:val="false"/>
          <w:smallCaps w:val="false"/>
          <w:sz w:val="20"/>
        </w:rPr>
        <w:t>.    If New Pasqal, at any time while the New Pasqal Warrants are outstanding and unexpired, pays a dividend or make a distribution in cash, securities or other assets to all or substantially all of the holders of New Pasqal Ordinary Shares other than (a) as described in subsection 1 above or (b) Ordinary Cash Dividends (as defined below) (any such non-excluded event being referred to herein as an “</w:t>
      </w:r>
      <w:r>
        <w:rPr>
          <w:rFonts w:ascii="Times New Roman PS Std;serif" w:hAnsi="Times New Roman PS Std;serif"/>
          <w:b/>
          <w:i/>
          <w:caps w:val="false"/>
          <w:smallCaps w:val="false"/>
          <w:sz w:val="20"/>
        </w:rPr>
        <w:t>Extraordinary Dividend</w:t>
      </w:r>
      <w:r>
        <w:rPr>
          <w:rFonts w:ascii="Times New Roman PS Std;serif" w:hAnsi="Times New Roman PS Std;serif"/>
          <w:b w:val="false"/>
          <w:i w:val="false"/>
          <w:caps w:val="false"/>
          <w:smallCaps w:val="false"/>
          <w:sz w:val="20"/>
        </w:rPr>
        <w:t>”), then the warrant price shall be decreased, effective immediately after the effective date of such Extraordinary Dividend, by the amount of cash and/or the fair market value (as determined by the Board, in good faith) of any securities or other assets paid on each New Pasqal Ordinary Share in respect of such Extraordinary Dividend. “</w:t>
      </w:r>
      <w:r>
        <w:rPr>
          <w:rFonts w:ascii="Times New Roman PS Std;serif" w:hAnsi="Times New Roman PS Std;serif"/>
          <w:b/>
          <w:i w:val="false"/>
          <w:caps w:val="false"/>
          <w:smallCaps w:val="false"/>
          <w:sz w:val="20"/>
        </w:rPr>
        <w:t>Ordinary Cash Dividends</w:t>
      </w:r>
      <w:r>
        <w:rPr>
          <w:rFonts w:ascii="Times New Roman PS Std;serif" w:hAnsi="Times New Roman PS Std;serif"/>
          <w:b w:val="false"/>
          <w:i w:val="false"/>
          <w:caps w:val="false"/>
          <w:smallCaps w:val="false"/>
          <w:sz w:val="20"/>
        </w:rPr>
        <w:t>” means any cash dividend or cash distribution which, when combined on a per share basis, with the per share amounts of all other cash dividends and cash distributions paid on the New Pasqal Ordinary Shares during the 365-day period ending on the date of declaration of such dividend or distribution (as adjusted pursuant to the Warrant Agreement) does not exceed $0.50 (being 5% of the offering price of the Units in the IPO) but only with respect to the amount of the aggregate cash dividends or cash distributions equal to or less than $0.50.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Solely for purposes of illustration, if New Pasqal, at a time while New Pasqal Warrants are outstanding and unexpired, pays a cash dividend of $0.35 and previously paid an aggregate of $0.40 of cash dividends and cash distributions on the New Pasqal Ordinary Shares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4.      </w:t>
      </w:r>
      <w:r>
        <w:rPr>
          <w:rFonts w:ascii="Times New Roman PS Std;serif" w:hAnsi="Times New Roman PS Std;serif"/>
          <w:b w:val="false"/>
          <w:i/>
          <w:caps w:val="false"/>
          <w:smallCaps w:val="false"/>
          <w:sz w:val="20"/>
          <w:u w:val="single"/>
        </w:rPr>
        <w:t>Adjustments in Exercise Price</w:t>
      </w:r>
      <w:r>
        <w:rPr>
          <w:rFonts w:ascii="Times New Roman PS Std;serif" w:hAnsi="Times New Roman PS Std;serif"/>
          <w:b w:val="false"/>
          <w:i w:val="false"/>
          <w:caps w:val="false"/>
          <w:smallCaps w:val="false"/>
          <w:sz w:val="20"/>
        </w:rPr>
        <w:t>.    Whenever the number of New Pasqal Ordinary Shares purchasable upon the exercise of New Pasqal Warrants is adjusted, as provided in paragraphs 1 and 2 above, the warrant price shall be adjusted (to the nearest cent) by multiplying such warrant price immediately prior to such adjustment by a fraction (x) the numerator of which shall be the number of New Pasqal Ordinary Shares purchasable upon the exercise of New Pasqal Warrants immediately prior to such adjustment, and (y) the denominator of which shall be the number of New Pasqal Ordinary Shares so purchasable immediately thereafter.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5.      </w:t>
      </w:r>
      <w:r>
        <w:rPr>
          <w:rFonts w:ascii="Times New Roman PS Std;serif" w:hAnsi="Times New Roman PS Std;serif"/>
          <w:b w:val="false"/>
          <w:i/>
          <w:caps w:val="false"/>
          <w:smallCaps w:val="false"/>
          <w:sz w:val="20"/>
          <w:u w:val="single"/>
        </w:rPr>
        <w:t>Replacement of Securities upon Reorganization, etc</w:t>
      </w:r>
      <w:r>
        <w:rPr>
          <w:rFonts w:ascii="Times New Roman PS Std;serif" w:hAnsi="Times New Roman PS Std;serif"/>
          <w:b w:val="false"/>
          <w:i w:val="false"/>
          <w:caps w:val="false"/>
          <w:smallCaps w:val="false"/>
          <w:sz w:val="20"/>
        </w:rPr>
        <w:t>.    In case of any reclassification or reorganization of the outstanding New Pasqal Ordinary Shares (other than a change covered by paragraphs 1, 2 or 3 above or that solely affects the par value of the New Pasqal Ordinary Shares), or in the case of any merger or consolidation of New Pasqal with or into another entity or conversion of New Pasqal as another entity (other than a consolidation or merger in which New Pasqal is the continuing corporation and is not a subsidiary of another entity whose shareholders did not own all or substantially all of the New Pasqal Ordinary Shares in substantially the same proportions immediately before such transaction and that does not result in any classification or reorganization of the outstanding New Pasqal Ordinary Shares), or in the case of any sale or conveyance to another corporation or entity of the assets or other property of New Pasqal as an entirety or substantially as an entirety in connection with which New Pasqal is dissolved, the holders of the New Pasqal Warrants shall thereafter have the right to purchase and receive, upon the basis and upon the terms and conditions specified in the New Pasqal Warrants and in lieu of the New Pasqal Ordinary Shares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New Pasqal Warrants would have received if such holder had exercised his, her or its New Pasqal Warrant(s) immediately prior to such event (the “</w:t>
      </w:r>
      <w:r>
        <w:rPr>
          <w:rFonts w:ascii="Times New Roman PS Std;serif" w:hAnsi="Times New Roman PS Std;serif"/>
          <w:b/>
          <w:i w:val="false"/>
          <w:caps w:val="false"/>
          <w:smallCaps w:val="false"/>
          <w:sz w:val="20"/>
        </w:rPr>
        <w:t>Alternative Issuance</w:t>
      </w:r>
      <w:r>
        <w:rPr>
          <w:rFonts w:ascii="Times New Roman PS Std;serif" w:hAnsi="Times New Roman PS Std;serif"/>
          <w:b w:val="false"/>
          <w:i w:val="false"/>
          <w:caps w:val="false"/>
          <w:smallCaps w:val="false"/>
          <w:sz w:val="20"/>
        </w:rPr>
        <w:t xml:space="preserve">”). If any reclassification or reorganization also results in a change in New Pasqal Ordinary Shares covered by </w:t>
      </w:r>
      <w:r>
        <w:rPr>
          <w:rFonts w:ascii="Times New Roman PS Std;serif" w:hAnsi="Times New Roman PS Std;serif"/>
          <w:b w:val="false"/>
          <w:i w:val="false"/>
          <w:caps w:val="false"/>
          <w:smallCaps w:val="false"/>
          <w:sz w:val="20"/>
          <w:u w:val="single"/>
        </w:rPr>
        <w:t>paragraphs 1 and 2, then such adjustment shall be made pursuant to paragraph 1, 2, 3, 4</w:t>
      </w:r>
      <w:r>
        <w:rPr>
          <w:rFonts w:ascii="Times New Roman PS Std;serif" w:hAnsi="Times New Roman PS Std;serif"/>
          <w:b w:val="false"/>
          <w:i w:val="false"/>
          <w:caps w:val="false"/>
          <w:smallCaps w:val="false"/>
          <w:sz w:val="20"/>
        </w:rPr>
        <w:t xml:space="preserve"> and this paragraph 5. The provisions of this </w:t>
      </w:r>
      <w:r>
        <w:rPr>
          <w:rFonts w:ascii="Times New Roman PS Std;serif" w:hAnsi="Times New Roman PS Std;serif"/>
          <w:b w:val="false"/>
          <w:i w:val="false"/>
          <w:caps w:val="false"/>
          <w:smallCaps w:val="false"/>
          <w:sz w:val="20"/>
          <w:u w:val="single"/>
        </w:rPr>
        <w:t>paragraph 5</w:t>
      </w:r>
      <w:r>
        <w:rPr>
          <w:rFonts w:ascii="Times New Roman PS Std;serif" w:hAnsi="Times New Roman PS Std;serif"/>
          <w:b w:val="false"/>
          <w:i w:val="false"/>
          <w:caps w:val="false"/>
          <w:smallCaps w:val="false"/>
          <w:sz w:val="20"/>
        </w:rPr>
        <w:t xml:space="preserve"> will similarly apply to successive reclassifications, reorganizations, mergers or consolidations, sales or other transfers. In no event will the warrant price be reduced to less than the par value per share issuable upon exercise of the New Pasqal Warrant.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New Pasqal Warrant was issued in registered form only. All of the New Pasqal Warrants are represented by one or more book-entry certificates.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Warrant Agreement and the Warrant Amendment Agreement may be amended by the parties thereto without the consent of any registered holder (i) for the purpose of (x) curing any ambiguity or to correct any defective provision contained therein, including to conform the provisions therein to the description of the terms of the New Pasqal Warrants, (y) adjusting the definition of “Ordinary Cash Dividend” as contemplated by and in accordance with the second sentence of </w:t>
      </w:r>
      <w:r>
        <w:rPr>
          <w:rFonts w:ascii="Times New Roman PS Std;serif" w:hAnsi="Times New Roman PS Std;serif"/>
          <w:b w:val="false"/>
          <w:i w:val="false"/>
          <w:caps w:val="false"/>
          <w:smallCaps w:val="false"/>
          <w:sz w:val="20"/>
          <w:u w:val="single"/>
        </w:rPr>
        <w:t>subsection 4.1.2</w:t>
      </w:r>
      <w:r>
        <w:rPr>
          <w:rFonts w:ascii="Times New Roman PS Std;serif" w:hAnsi="Times New Roman PS Std;serif"/>
          <w:b w:val="false"/>
          <w:i w:val="false"/>
          <w:caps w:val="false"/>
          <w:smallCaps w:val="false"/>
          <w:sz w:val="20"/>
        </w:rPr>
        <w:t xml:space="preserve"> of the Warrant Agreement or (z) adding or changing any other provisions with respect to matters or questions arising under the Warrant Agreement or the Warrant Amendment Agreement as the parties may deem necessary or desirable and that the parties deem shall not adversely affect the interest of the registered holders, and (ii) to provide for the delivery of an alternative issuance. All other modifications or amendments, including any modification or amendment to increase the warrant price or shorten the exercise period shall require the vote or written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the registered holders of 50% of the number of the then outstanding New Pasqal Warrants and, solely with respect to any amendment to the terms of the New Pasqal Warrants or any provision of the Warrant Agreement or Warrant Amendment Agreement with respect to the New Pasqal Warrants (including, for the avoidance of doubt, the forfeiture or cancellation of any New Pasqal Warrants), 50% of the number of then outstanding New Pasqal Warrants (including the vote or written consent of each underwriter to the IPO). Notwithstanding the foregoing, New Pasqal may lower the warrant price or extend the duration of the exercise period without the consent of the registered holders.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Exercise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Warrants may be exercised by delivering to Computershare Inc. and Computershare Trust Company, N.A. the warrant certificate evidencing the New Pasqal Warrants to be exercised, or, in the case of a book-entry warrant certificate, the New Pasqal Warrants to be exercised on the records of the depositary to an account of Computershare Inc. and Computershare Trust Company, N.A. at the depositary designated for such proposes in writing by Computershare Inc. and Computershare Trust Company, N.A. to the depositary from time to time, a properly completed and executed election to purchase form and payment in full of the warrant price for each New Pasqal Ordinary Share to which the New Pasqal Warrant is exercised and any and all applicable taxes due in connection with the exercise of the New Pasqal Warrant.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Rights as Shareholder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New Pasqal Warrant does not entitle the registered holder thereof to any of the rights of a shareholder of New Pasqal, including, without limitation, the right to receive dividends, or other distributions, exercise any preemptive rights to vote or to consent or to receive notice as shareholders in respect of the meetings of shareholders or the election of directors of New Pasqal or any other matter.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Fractional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will not issue fractional New Pasqal Warrants.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Fractional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shall not issue fractional shares upon exercise of New Pasqal Warrants. If, by reason of any adjustment, the holder of any New Pasqal Warrant would be entitled, upon the exercise of such New Pasqal Warrant, to receive a fractional interest in a share, New Pasqal shall, upon such exercise, round up to the nearest whole number of New Pasqal Ordinary Shares to be issued to the warrant holder.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private placement warrants which were initially sold as part of the units in Bleichroeder’s IPO, were also replaced, following the consummation of the Business Combination, by New Pasqal Warrants entitling their holders to acquire New Pasqal Ordinary Shares. These private placement warrants have terms and provisions that are identical to those of the public warrants which were initially sold as part of the units in Bleichroeder’s IPO. The private placement warrants, which were purchased by the Sponsor, Cohen and Clear Street, are identical to the public warrants except that, so long as the private placement warrants are held by the Sponsor, or its permitted transferees, the private placement warrants (and the New Pasqal Ordinary Shares issuable upon exercise of the private placement warrants) (i) may not, subject to certain limited exceptions, be transferred, assigned or sold by the holders until 30 days after the completion of our Business Combination, (ii) are entitled to registration rights and (iii) with respect to private placement warrants held by Cohen, Clear Street and/or their designees, will not be exercisable more than five years from the closing of the IPO in accordance with FINRA Rule 5110(g)(8).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Rollover BSPCEs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Rollover BSPCEs were assumed by New Pasqal, and grant the right to subscribe for New Pasqal Ordinary Shares, with the number of shares adjusted, as applicable to reflect the Exchange Ratio, on the same terms and conditions as were applicable to the Rollover BSPCEs as of immediately prior to the Merger Effective Time (including vesting, exercise period and expiration date), except as otherwise provided by the French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III.   Senior Unsecured Convertible Bonds and Investment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Business Combination Agreement, Bleichroeder, Merger Sub and the accredited investors named therein (the “</w:t>
      </w:r>
      <w:r>
        <w:rPr>
          <w:rFonts w:ascii="Times New Roman PS Std;serif" w:hAnsi="Times New Roman PS Std;serif"/>
          <w:b/>
          <w:i w:val="false"/>
          <w:caps w:val="false"/>
          <w:smallCaps w:val="false"/>
          <w:sz w:val="20"/>
        </w:rPr>
        <w:t>Investors</w:t>
      </w:r>
      <w:r>
        <w:rPr>
          <w:rFonts w:ascii="Times New Roman PS Std;serif" w:hAnsi="Times New Roman PS Std;serif"/>
          <w:b w:val="false"/>
          <w:i w:val="false"/>
          <w:caps w:val="false"/>
          <w:smallCaps w:val="false"/>
          <w:sz w:val="20"/>
        </w:rPr>
        <w:t>”) entered into a Securities Purchase Agreement, dated as of March 4, 2026 and as amended on May 23, 2026 (the “</w:t>
      </w:r>
      <w:r>
        <w:rPr>
          <w:rFonts w:ascii="Times New Roman PS Std;serif" w:hAnsi="Times New Roman PS Std;serif"/>
          <w:b/>
          <w:i w:val="false"/>
          <w:caps w:val="false"/>
          <w:smallCaps w:val="false"/>
          <w:sz w:val="20"/>
        </w:rPr>
        <w:t>March 2026 SPA</w:t>
      </w:r>
      <w:r>
        <w:rPr>
          <w:rFonts w:ascii="Times New Roman PS Std;serif" w:hAnsi="Times New Roman PS Std;serif"/>
          <w:b w:val="false"/>
          <w:i w:val="false"/>
          <w:caps w:val="false"/>
          <w:smallCaps w:val="false"/>
          <w:sz w:val="20"/>
        </w:rPr>
        <w:t>”). Pursuant to the March 2026 SPA, the Investors agreed, among other things, subject to certain conditions, to purchase $312.5 million aggregate principal amount of senior unsecured convertible bonds convertible into New Pasqal Ordinary Shares (the “</w:t>
      </w:r>
      <w:r>
        <w:rPr>
          <w:rFonts w:ascii="Times New Roman PS Std;serif" w:hAnsi="Times New Roman PS Std;serif"/>
          <w:b/>
          <w:i w:val="false"/>
          <w:caps w:val="false"/>
          <w:smallCaps w:val="false"/>
          <w:sz w:val="20"/>
        </w:rPr>
        <w:t>Senior Unsecured Convertible Bonds</w:t>
      </w:r>
      <w:r>
        <w:rPr>
          <w:rFonts w:ascii="Times New Roman PS Std;serif" w:hAnsi="Times New Roman PS Std;serif"/>
          <w:b w:val="false"/>
          <w:i w:val="false"/>
          <w:caps w:val="false"/>
          <w:smallCaps w:val="false"/>
          <w:sz w:val="20"/>
        </w:rPr>
        <w:t>”) and warrants to purchase a number of New Pasqal Ordinary Shares equal to 125% of the total number of New Pasqal Ordinary Shares into which the Senior Unsecured Convertible Bonds are initially convertible at Closing (the “</w:t>
      </w:r>
      <w:r>
        <w:rPr>
          <w:rFonts w:ascii="Times New Roman PS Std;serif" w:hAnsi="Times New Roman PS Std;serif"/>
          <w:b/>
          <w:i w:val="false"/>
          <w:caps w:val="false"/>
          <w:smallCaps w:val="false"/>
          <w:sz w:val="20"/>
        </w:rPr>
        <w:t>Investment Warrant</w:t>
      </w:r>
      <w:r>
        <w:rPr>
          <w:rFonts w:ascii="Times New Roman PS Std;serif" w:hAnsi="Times New Roman PS Std;serif"/>
          <w:b w:val="false"/>
          <w:i w:val="false"/>
          <w:caps w:val="false"/>
          <w:smallCaps w:val="false"/>
          <w:sz w:val="20"/>
        </w:rPr>
        <w:t>”), for an aggregate purchase price of $250 million, reflecting a 20% original issue discount (the “</w:t>
      </w:r>
      <w:r>
        <w:rPr>
          <w:rFonts w:ascii="Times New Roman PS Std;serif" w:hAnsi="Times New Roman PS Std;serif"/>
          <w:b/>
          <w:i w:val="false"/>
          <w:caps w:val="false"/>
          <w:smallCaps w:val="false"/>
          <w:sz w:val="20"/>
        </w:rPr>
        <w:t>Investment</w:t>
      </w:r>
      <w:r>
        <w:rPr>
          <w:rFonts w:ascii="Times New Roman PS Std;serif" w:hAnsi="Times New Roman PS Std;serif"/>
          <w:b w:val="false"/>
          <w:i w:val="false"/>
          <w:caps w:val="false"/>
          <w:smallCaps w:val="false"/>
          <w:sz w:val="20"/>
        </w:rPr>
        <w:t>”). The closing of the Investment occurred substantially concurrent with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Closing Date, in accordance with the French Commercial Code, the Senior Unsecured Convertible Bonds were issued pursuant to the Terms and Conditions (</w:t>
      </w:r>
      <w:r>
        <w:rPr>
          <w:rFonts w:ascii="Times New Roman PS Std;serif" w:hAnsi="Times New Roman PS Std;serif"/>
          <w:b w:val="false"/>
          <w:i/>
          <w:caps w:val="false"/>
          <w:smallCaps w:val="false"/>
          <w:sz w:val="20"/>
        </w:rPr>
        <w:t>termes et conditions des obligations convertibles en actions ordinaires</w:t>
      </w:r>
      <w:r>
        <w:rPr>
          <w:rFonts w:ascii="Times New Roman PS Std;serif" w:hAnsi="Times New Roman PS Std;serif"/>
          <w:b w:val="false"/>
          <w:i w:val="false"/>
          <w:caps w:val="false"/>
          <w:smallCaps w:val="false"/>
          <w:sz w:val="20"/>
        </w:rPr>
        <w:t>) attached to New Pasqal’s shareholders decision issuing the Senior Unsecured Convertible Bonds (the “</w:t>
      </w:r>
      <w:r>
        <w:rPr>
          <w:rFonts w:ascii="Times New Roman PS Std;serif" w:hAnsi="Times New Roman PS Std;serif"/>
          <w:b/>
          <w:i w:val="false"/>
          <w:caps w:val="false"/>
          <w:smallCaps w:val="false"/>
          <w:sz w:val="20"/>
        </w:rPr>
        <w:t>Senior Unsecured Convertible Bonds Terms and Conditions</w:t>
      </w:r>
      <w:r>
        <w:rPr>
          <w:rFonts w:ascii="Times New Roman PS Std;serif" w:hAnsi="Times New Roman PS Std;serif"/>
          <w:b w:val="false"/>
          <w:i w:val="false"/>
          <w:caps w:val="false"/>
          <w:smallCaps w:val="false"/>
          <w:sz w:val="20"/>
        </w:rPr>
        <w:t>”), and the Investment Warrants were issued pursuant to the Terms and Conditions (</w:t>
      </w:r>
      <w:r>
        <w:rPr>
          <w:rFonts w:ascii="Times New Roman PS Std;serif" w:hAnsi="Times New Roman PS Std;serif"/>
          <w:b w:val="false"/>
          <w:i/>
          <w:caps w:val="false"/>
          <w:smallCaps w:val="false"/>
          <w:sz w:val="20"/>
        </w:rPr>
        <w:t>termes et conditions des bons de souscriptions d’actions</w:t>
      </w:r>
      <w:r>
        <w:rPr>
          <w:rFonts w:ascii="Times New Roman PS Std;serif" w:hAnsi="Times New Roman PS Std;serif"/>
          <w:b w:val="false"/>
          <w:i w:val="false"/>
          <w:caps w:val="false"/>
          <w:smallCaps w:val="false"/>
          <w:sz w:val="20"/>
        </w:rPr>
        <w:t>) attached to New Pasqal’s shareholders decision issuing the Investment Warrants (the “</w:t>
      </w:r>
      <w:r>
        <w:rPr>
          <w:rFonts w:ascii="Times New Roman PS Std;serif" w:hAnsi="Times New Roman PS Std;serif"/>
          <w:b/>
          <w:i w:val="false"/>
          <w:caps w:val="false"/>
          <w:smallCaps w:val="false"/>
          <w:sz w:val="20"/>
        </w:rPr>
        <w:t>Investment Warrants Terms and Conditions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Investment, Bleichroeder and the Sponsor agreed to provide certain investors (the “</w:t>
      </w:r>
      <w:r>
        <w:rPr>
          <w:rFonts w:ascii="Times New Roman PS Std;serif" w:hAnsi="Times New Roman PS Std;serif"/>
          <w:b/>
          <w:i w:val="false"/>
          <w:caps w:val="false"/>
          <w:smallCaps w:val="false"/>
          <w:sz w:val="20"/>
        </w:rPr>
        <w:t>IP Investors</w:t>
      </w:r>
      <w:r>
        <w:rPr>
          <w:rFonts w:ascii="Times New Roman PS Std;serif" w:hAnsi="Times New Roman PS Std;serif"/>
          <w:b w:val="false"/>
          <w:i w:val="false"/>
          <w:caps w:val="false"/>
          <w:smallCaps w:val="false"/>
          <w:sz w:val="20"/>
        </w:rPr>
        <w:t>”) led by Inflection Point, a member of Bleichroeder Manager 2 LLC, the Sponsor’s managing member, the right to designate one individual (the “</w:t>
      </w:r>
      <w:r>
        <w:rPr>
          <w:rFonts w:ascii="Times New Roman PS Std;serif" w:hAnsi="Times New Roman PS Std;serif"/>
          <w:b/>
          <w:i w:val="false"/>
          <w:caps w:val="false"/>
          <w:smallCaps w:val="false"/>
          <w:sz w:val="20"/>
        </w:rPr>
        <w:t>IP Nominee</w:t>
      </w:r>
      <w:r>
        <w:rPr>
          <w:rFonts w:ascii="Times New Roman PS Std;serif" w:hAnsi="Times New Roman PS Std;serif"/>
          <w:b w:val="false"/>
          <w:i w:val="false"/>
          <w:caps w:val="false"/>
          <w:smallCaps w:val="false"/>
          <w:sz w:val="20"/>
        </w:rPr>
        <w:t>”) to be included as one of the directors that Bleichroeder is entitled to designate to the New Pasqal at the Closing (the “</w:t>
      </w:r>
      <w:r>
        <w:rPr>
          <w:rFonts w:ascii="Times New Roman PS Std;serif" w:hAnsi="Times New Roman PS Std;serif"/>
          <w:b/>
          <w:i w:val="false"/>
          <w:caps w:val="false"/>
          <w:smallCaps w:val="false"/>
          <w:sz w:val="20"/>
        </w:rPr>
        <w:t>Designation Right</w:t>
      </w:r>
      <w:r>
        <w:rPr>
          <w:rFonts w:ascii="Times New Roman PS Std;serif" w:hAnsi="Times New Roman PS Std;serif"/>
          <w:b w:val="false"/>
          <w:i w:val="false"/>
          <w:caps w:val="false"/>
          <w:smallCaps w:val="false"/>
          <w:sz w:val="20"/>
        </w:rPr>
        <w:t>”) under the Business Combination Agreement. Each of Bleichroeder and the Sponsor agreed to take all actions within its respective power, including voting (or causing to be voted) any securities of Bleichroeder or New Pasqal over which it exercises voting control, and to exercise all rights it may have under the Business Combination Agreement, any organizational documents, any investor rights or similar agreement, or otherwise, to designate the IP Nominee to the New Pasqal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Senior Unsecured Convertible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2026 SPA includes customary representations and warranties from Bleichroeder, Merger Sub and the Investors. The March 2026 SPA also includes customary covenants and agreements related to transfer restrictions, SEC reports, and indemnification. The Senior Unsecured Convertible Bonds may be amended only with the written consent of New Pasqal and bondholders holding a majority of the outstanding aggregate principal amount of the Senior Unsecured Convertible Bonds, or as otherwise required in accordance with the French Commercial Code. Holders of the New Pasqal Ordinary Shares issuable upon conversion of the Investment Warrants are governed by their separate Terms and Conditions and may be amended in accordance with those Terms and Conditions and applicable French law governing bons de souscription d’actions (BSA); the amendment mechanics for the Investment Warrants are separate from, and do not depend on, the consent of holders of the Senior Unsecured Convertible Bonds. Senior Unsecured Convertible Bonds and New Pasqal Ordinary Shares underlying any Investment Warrants have the registration rights set forth in the A&amp;R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Ranking:    </w:t>
      </w:r>
      <w:r>
        <w:rPr>
          <w:rFonts w:ascii="Times New Roman PS Std;serif" w:hAnsi="Times New Roman PS Std;serif"/>
          <w:b w:val="false"/>
          <w:i w:val="false"/>
          <w:caps w:val="false"/>
          <w:smallCaps w:val="false"/>
          <w:sz w:val="20"/>
        </w:rPr>
        <w:t>The Senior Unsecured Convertible Bonds shall rank senior to the New Pasqal Ordinary Shares and any other class or series of capital stock of New Pasqal currently existing or hereafter authorized, classified or reclassified by New Pasqal, and junior and subordinated to other unsecured and unsubordinated obligations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Bondholders Representative:</w:t>
      </w:r>
      <w:r>
        <w:rPr>
          <w:rFonts w:ascii="Times New Roman PS Std;serif" w:hAnsi="Times New Roman PS Std;serif"/>
          <w:b w:val="false"/>
          <w:i w:val="false"/>
          <w:caps w:val="false"/>
          <w:smallCaps w:val="false"/>
          <w:sz w:val="20"/>
        </w:rPr>
        <w:t>    Holders of the Senior Unsecured Convertible Bonds shall be organized as a group for the representation of their interests (the “</w:t>
      </w:r>
      <w:r>
        <w:rPr>
          <w:rFonts w:ascii="Times New Roman PS Std;serif" w:hAnsi="Times New Roman PS Std;serif"/>
          <w:b/>
          <w:i w:val="false"/>
          <w:caps w:val="false"/>
          <w:smallCaps w:val="false"/>
          <w:sz w:val="20"/>
        </w:rPr>
        <w:t>Masse</w:t>
      </w:r>
      <w:r>
        <w:rPr>
          <w:rFonts w:ascii="Times New Roman PS Std;serif" w:hAnsi="Times New Roman PS Std;serif"/>
          <w:b w:val="false"/>
          <w:i w:val="false"/>
          <w:caps w:val="false"/>
          <w:smallCaps w:val="false"/>
          <w:sz w:val="20"/>
        </w:rPr>
        <w:t>”). The Masse shall be governed by the provisions of the French Commercial Code and will act in part through a bondholders representative (representant de la masse) and in part through collective decisions of the Convertible Bondholders, whether by general meetings or written consultations as permitted under Article L. 228-46-1 of the French Commercial Code. Any reasonable and documented costs or expenses incurred by the holders of the Senior Unsecured Convertible Bonds in connection with the operation and consultation of the Masse shall be reimbursed by New Pasqal upon presentation of the relevant invoices.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Interest Payments:    </w:t>
      </w:r>
      <w:r>
        <w:rPr>
          <w:rFonts w:ascii="Times New Roman PS Std;serif" w:hAnsi="Times New Roman PS Std;serif"/>
          <w:b w:val="false"/>
          <w:i w:val="false"/>
          <w:caps w:val="false"/>
          <w:smallCaps w:val="false"/>
          <w:sz w:val="20"/>
        </w:rPr>
        <w:t>The Senior Unsecured Convertible Bonds will accrue interest at the rate per annum of 10.0% per annum payable in cash semi-annually. However, if a payment in cash has not been made on a semi-annual payment date, payment on the next semi-annual payment date shall be in PIK at a rate of 12% payable and compounded annually from the last payment date on which a payment in cash has been made.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Preference:    </w:t>
      </w:r>
      <w:r>
        <w:rPr>
          <w:rFonts w:ascii="Times New Roman PS Std;serif" w:hAnsi="Times New Roman PS Std;serif"/>
          <w:b w:val="false"/>
          <w:i w:val="false"/>
          <w:caps w:val="false"/>
          <w:smallCaps w:val="false"/>
          <w:sz w:val="20"/>
        </w:rPr>
        <w:t>Upon any liquidation or deemed liquidation event, the holders of Senior Unsecured Convertible Bonds will be entitled to receive out of the available proceeds, before any distribution is made to holders of ordinary shares or any other junior securities, an amount equal to the greater of (i) 100% of the Accrued Value (as defined in the Senior Unsecured Convertible Bonds Terms and Conditions) or (ii) such amount as would have been payable had such Convertible Bond been converted into Ordinary Shares immediately prior to such liquidation, dissolution, winding up or Deemed Liquidation Event based on the then effective rate of conversion and without giving effect to any applicable limitations on conversion. Thereafter, the holders of Senior Unsecured Convertible Bonds will be entitled to receive their pro rata share of the remaining available proceeds available for distribution to shareholders, pro rata based on the number of Ordinary Shares held by each such holder, including all Ordinary Shares converted and all Ordinary Shares issuable upon conversion immediately prior to such liquidation, dissolution or winding up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Protective Provisions:    </w:t>
      </w:r>
      <w:r>
        <w:rPr>
          <w:rFonts w:ascii="Times New Roman PS Std;serif" w:hAnsi="Times New Roman PS Std;serif"/>
          <w:b w:val="false"/>
          <w:i w:val="false"/>
          <w:caps w:val="false"/>
          <w:smallCaps w:val="false"/>
          <w:sz w:val="20"/>
        </w:rPr>
        <w:t>For as long as 10% of the Senior Unsecured Convertible Bonds issued as of the Closing are held by Inflection Point Asset Management LLC or the other investors in the March 2026 Financing or their respective affiliates, New Pasqal may not, without the affirmative vote or written consent of the Masse (the “</w:t>
      </w:r>
      <w:r>
        <w:rPr>
          <w:rFonts w:ascii="Times New Roman PS Std;serif" w:hAnsi="Times New Roman PS Std;serif"/>
          <w:b/>
          <w:i w:val="false"/>
          <w:caps w:val="false"/>
          <w:smallCaps w:val="false"/>
          <w:sz w:val="20"/>
        </w:rPr>
        <w:t>Requisite Holders</w:t>
      </w:r>
      <w:r>
        <w:rPr>
          <w:rFonts w:ascii="Times New Roman PS Std;serif" w:hAnsi="Times New Roman PS Std;serif"/>
          <w:b w:val="false"/>
          <w:i w:val="false"/>
          <w:caps w:val="false"/>
          <w:smallCaps w:val="false"/>
          <w:sz w:val="20"/>
        </w:rPr>
        <w:t>”), take any of the following actions: (i) liquidate, dissolve or wind up the affairs of New Pasqal, or commence or consent to any bankruptcy proceeding relating to the Company; (ii) amend, alter, or repeal any provision of the Company’s bylaws, the Senior Unsecured Convertible Bonds Terms and Conditions in a manner that materially and adversely affects the powers, preferences or rights given to the holders of the Senior Unsecured Convertible Bonds; (iii) create, authorize or issue any other equity security or security convertible into or exercisable for any equity security unless such security ranks junior to the Senior Unsecured Convertible Bonds with respect to its rights, preferences and privileges, or increase the aggregate amount of the Senior Unsecured Convertible Bonds accordingly; (iv) pay any cash dividend or redeem any equity or equity-linked security prior to repayment in full, redemption or conversion of the Senior Unsecured Convertible Bonds into New Pasqal Ordinary Shares, other than stock repurchased at cost from former employees and consultants in connection with the cessation of their service or pursuant to the terms of any equity incentive plan of New Pasqal; (v) enter into any transaction with an affiliate, other than the issuance of equity or awards to eligible participants under New Pasqal’s incentive plan, equity plan or equity-based compensation plan, or with respect to employment, consulting or award agreements with respect to executive officers of New Pasqal, in each case regardless of whether such person (or such person’s affiliates) would be considered an affiliate of New Pasqal; or (vi) incur or guarantee any new indebtedness, including secured and/or senior debt, other than equipment leases or trade payables incurred in the ordinary course of business. The Company must promptly deliver written notice to the bondholders of the occurrence of any breach or default of the foregoing, each of which shall be considered as an event of default unless, if curable, it has not been cured within five business days of formal notice sent by registered letter with acknowledgement of receipt (</w:t>
      </w:r>
      <w:r>
        <w:rPr>
          <w:rFonts w:ascii="Times New Roman PS Std;serif" w:hAnsi="Times New Roman PS Std;serif"/>
          <w:b w:val="false"/>
          <w:i/>
          <w:caps w:val="false"/>
          <w:smallCaps w:val="false"/>
          <w:sz w:val="20"/>
        </w:rPr>
        <w:t>lettre recommandée avec accusé de reception</w:t>
      </w:r>
      <w:r>
        <w:rPr>
          <w:rFonts w:ascii="Times New Roman PS Std;serif" w:hAnsi="Times New Roman PS Std;serif"/>
          <w:b w:val="false"/>
          <w:i w:val="false"/>
          <w:caps w:val="false"/>
          <w:smallCaps w:val="false"/>
          <w:sz w:val="20"/>
        </w:rPr>
        <w:t>) or by bailiff service (</w:t>
      </w:r>
      <w:r>
        <w:rPr>
          <w:rFonts w:ascii="Times New Roman PS Std;serif" w:hAnsi="Times New Roman PS Std;serif"/>
          <w:b w:val="false"/>
          <w:i/>
          <w:caps w:val="false"/>
          <w:smallCaps w:val="false"/>
          <w:sz w:val="20"/>
        </w:rPr>
        <w:t>notification par commissaire de justice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Optional Conversion:    </w:t>
      </w:r>
      <w:r>
        <w:rPr>
          <w:rFonts w:ascii="Times New Roman PS Std;serif" w:hAnsi="Times New Roman PS Std;serif"/>
          <w:b w:val="false"/>
          <w:i w:val="false"/>
          <w:caps w:val="false"/>
          <w:smallCaps w:val="false"/>
          <w:sz w:val="20"/>
        </w:rPr>
        <w:t>Each Convertible Bond may be convertible into New Pasqal Ordinary Shares at any time at the option of the holder at a rate equal to the then-Accrued Value, divided by the then-applicable conversion price. The conversion price will initially be $12.00, subject to adjustments for stock dividends, stock splits, combinations, reclassifications and similar events and customary anti-dilution adjustments, including with respect to future issuances or sales of New Pasqal Ordinary Shares at prices less than the conversion price then in effect. In addition, on the date that is six months after the Closing, if the 20-day volume-weighted average price of the New Pasqal Ordinary Shares is less than the conversion price then in effect, the conversion price will be adjusted to the greater of (i) such volume weighted average price and (ii) $7.80.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Rights:    </w:t>
      </w:r>
      <w:r>
        <w:rPr>
          <w:rFonts w:ascii="Times New Roman PS Std;serif" w:hAnsi="Times New Roman PS Std;serif"/>
          <w:b w:val="false"/>
          <w:i w:val="false"/>
          <w:caps w:val="false"/>
          <w:smallCaps w:val="false"/>
          <w:sz w:val="20"/>
        </w:rPr>
        <w:t>Unless prohibited by applicable law governing distributions to shareholders, the Senior Unsecured Convertible Bonds shall be redeemable at the option of the Requisite Holders commencing any time after the 5th anniversary of the Closing at a price equal to the Accrued Value. New Pasqal shall elect to settle with (i) cash from distributable amounts in accordance with article L. 232-11 of the French Commercial Code; (ii) cash proceeds from a new issue of equity securities carried out for the purpose of such redemption; (iii) New Pasqal Ordinary Shares on a price per share basis at least 20.0% lower than the last closing price immediately preceding the issuance of the related redemption notice; or (iv) a combination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Call Rights:    </w:t>
      </w:r>
      <w:r>
        <w:rPr>
          <w:rFonts w:ascii="Times New Roman PS Std;serif" w:hAnsi="Times New Roman PS Std;serif"/>
          <w:b w:val="false"/>
          <w:i w:val="false"/>
          <w:caps w:val="false"/>
          <w:smallCaps w:val="false"/>
          <w:sz w:val="20"/>
        </w:rPr>
        <w:t xml:space="preserve">Unless prohibited by applicable law governing distributions to shareholders, all or a portion of the Senior Unsecured Convertible Bonds shall be redeemable at the option of New Pasqal commencing any time (i) prior to the first anniversary of the Closing at a price equal to the 150% of the Accrued Value, (ii) on or after the 1st anniversary but prior to the 2nd anniversary of the Closing at a price equal to the 140% of the Accrued Value, (iii)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after the second anniversary of the Closing but prior to the third anniversary of the Closing at a price equal to the 130% of the Accrued Value, (iv) on or after the third anniversary of the Closing but prior to the fourth anniversary of the Closing at a price equal to the 120% of the Accrued Value, (v) on or after the fourth anniversary of the Closing but prior to the 5th anniversary of the Closing at a price equal to the 110% of the Accrued Value, or (vi) on or after the fifth anniversary of the Closing at a price equal to the 100% of the Accrued Value.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Investment Warrants:    </w:t>
      </w:r>
      <w:r>
        <w:rPr>
          <w:rFonts w:ascii="Times New Roman PS Std;serif" w:hAnsi="Times New Roman PS Std;serif"/>
          <w:b w:val="false"/>
          <w:i w:val="false"/>
          <w:caps w:val="false"/>
          <w:smallCaps w:val="false"/>
          <w:sz w:val="20"/>
        </w:rPr>
        <w:t>At the closing of the Investment, the Investors received Investment Warrants to purchase New Pasqal Ordinary Shares. The Investment Warrants are immediately exercisable upon issuance at Closing and will expire five years from the date of Closing. The Investment Warrants include customary cash and cashless exercise provisions. Each Investment Warrant is initially exercisable at $12.00 per New Pasqal Ordinary Share, subject to the same anti-dilution and other adjustments as the Senior Unsecured Convertible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Warrant Redemption:    </w:t>
      </w:r>
      <w:r>
        <w:rPr>
          <w:rFonts w:ascii="Times New Roman PS Std;serif" w:hAnsi="Times New Roman PS Std;serif"/>
          <w:b w:val="false"/>
          <w:i w:val="false"/>
          <w:caps w:val="false"/>
          <w:smallCaps w:val="false"/>
          <w:sz w:val="20"/>
        </w:rPr>
        <w:t>Commencing on the one year anniversary of the Closing, New Pasqal may redeem all outstanding Investment Warrants, in whole and not in part, upon prior written notice of redemption if, and only if, the last reported sale price of the New Pasqal Ordinary Shares underlying such Investment Warrants equals or exceeds $18.00 per share for any 20 trading days within a 30-trading day period, subject to certain conditions.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IV.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amount of at least five percent (5%) shall be deducted from the profits for the fiscal year reduced by prior losses, if any, in order to constitute the statutory reserve fund. Such deduction shall cease to be mandatory when the amount in the statutory reserve fund is equal to one-tenth of the share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distributable profits are at the disposal of the shareholders, gathered at a shareholders’ general meeting, which, based on a proposal of the Board of Directors, may, in all or in part, carry them forward, transfer them to general or special reserve funds, or distribute them to shareholders in the form of dividend.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may decide to distribute amounts withdrawn from the reserve funds at its disposal. In such case, the decision shall expressly state the reserve items from which the withdrawals are made. However, dividends shall first be withdrawn from the distributable profits for the fiscal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case of a share capital reduction, no distribution may be made to shareholders where shareholders’ equity is, or becomes after such distribution, less than the amount of the share capital plus the reserve funds that the law or the by-laws do not authorize to distribute.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may resolve that New Pasqal pays out an interim dividend to the shareholders, subject to requirements provided for by French law. In such case, the Board of Directors shall set the amount and the date of payment of the interim dividend.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      Certain Anti-Takeover Provisions of the New Pasqal Articles of Association; Certain Anti-Takeover Provisions of French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Pasqal Articles of Association do not contain any specific anti-takeover provisions. Anti-takeover provisions under French law do not apply to New Pasqal since its shares are not traded on a regulated market in a Member State of the E.U. The French law allows shareholders at general meetings to delegate the authority to the board of directors to issue shares or warrants to subscribe for shares, which may make it more difficult for a shareholder to obtain control over New Pasqal’s general meeting of shareholders.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    Transfer Agent, Warrant Agent and Registrar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and Warrant Agent for New Pasqal’s capital stock is Computershare Inc. New Pasqal has agreed to indemnify Computershare Inc. in its roles as Transfer Agent and Warrant Agent, its agents and each of its shareholders,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VII.  Rule 144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Rule 144 under the Securities Act (“</w:t>
      </w:r>
      <w:r>
        <w:rPr>
          <w:rFonts w:ascii="Times New Roman PS Std;serif" w:hAnsi="Times New Roman PS Std;serif"/>
          <w:b/>
          <w:i w:val="false"/>
          <w:caps w:val="false"/>
          <w:smallCaps w:val="false"/>
          <w:sz w:val="20"/>
        </w:rPr>
        <w:t>Rule 144</w:t>
      </w:r>
      <w:r>
        <w:rPr>
          <w:rFonts w:ascii="Times New Roman PS Std;serif" w:hAnsi="Times New Roman PS Std;serif"/>
          <w:b w:val="false"/>
          <w:i w:val="false"/>
          <w:caps w:val="false"/>
          <w:smallCaps w:val="false"/>
          <w:sz w:val="20"/>
        </w:rPr>
        <w:t>”), a person who has beneficially owned restricted New Pasqal Ordinary Shares or warrants of New Pasqal for at least six months would be entitled to sell their securities provided that (i) such person is not deemed to have been an affiliate of New Pasqal at the time of, or at any time during the three months preceding, a sale and (ii) New Pasqal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who have beneficially owned restricted New Pasqal Ordinary Shares or warrants of New Pasqal for at least six months but who are affiliates of New Pasqal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total number of New Pasqal Ordinary Shares then outstanding;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reported trading volume of New Pasqal ordinary Shares during the four calendar weeks preceding the filing of a notice on Form 144 with respect to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by affiliates of New Pasqal under Rule 144 are also limited by manner of sale provisions and notice requirements and by the availability of current public information about New Pasqal.</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VIII. Restrictions on the Use of Rule 144 by Shell Companies or Former Shell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 is not available for the resale of securities initially issued by shell companies (other than business-combination related shell companies) or issuers that have been at any time previously a shell company. However, Rule 144 also includes an important exception to this prohibition if the following conditions are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that was formerly a shell company has ceased to be a shell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is subject to the reporting requirements of Section 13 or 15(d) of the Exchange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one year has elapsed from the time that the issuer filed current Form 10-type information with the SEC reflecting its status as an entity that is not a shell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New Pasqal is no longer a shell company, and so, once the conditions described above are satisfied, Rule 144 will become available for the resale of the above-noted restricted securities.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IX.    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the RRA Parties entered into the A&amp;R Registration Rights Agreement, which amended and restated the Registration Rights Agreement. See “</w:t>
      </w:r>
      <w:r>
        <w:rPr>
          <w:rFonts w:ascii="Times New Roman PS Std;serif" w:hAnsi="Times New Roman PS Std;serif"/>
          <w:b w:val="false"/>
          <w:i/>
          <w:caps w:val="false"/>
          <w:smallCaps w:val="false"/>
          <w:sz w:val="20"/>
        </w:rPr>
        <w:t>Certain Relationships and Related Person Transactions — A&amp;R Registration Rights Agreement</w:t>
      </w:r>
      <w:r>
        <w:rPr>
          <w:rFonts w:ascii="Times New Roman PS Std;serif" w:hAnsi="Times New Roman PS Std;serif"/>
          <w:b w:val="false"/>
          <w:i w:val="false"/>
          <w:caps w:val="false"/>
          <w:smallCaps w:val="false"/>
          <w:sz w:val="20"/>
        </w:rPr>
        <w:t>” for more information.</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X.     Shares Eligible for Future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212,293,691 Ordinary Shares issued and outstanding as of the date of this prospectus. All of the Ordinary Shares issued to holders of Bleichroeder Class A Ordinary Shares in connection with the Business Combination are freely transferable by persons other than by Pasqal “affiliates” without restriction or further registration under the Securities Act. Sales of substantial amounts of Ordinary Shares in the public market could adversely affect prevailing market prices of the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118"/>
      <w:bookmarkEnd w:id="17"/>
      <w:r>
        <w:rPr>
          <w:rFonts w:ascii="Times New Roman PS Std;serif" w:hAnsi="Times New Roman PS Std;serif"/>
          <w:b/>
          <w:i w:val="false"/>
          <w:caps w:val="false"/>
          <w:smallCaps w:val="false"/>
          <w:sz w:val="20"/>
        </w:rPr>
        <w:t xml:space="preserve">MATERIAL TAX CONSIDERATIONS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 U.S. Federal Income Tax Considerations for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description of the material U.S. federal income tax consequences to the U.S. Holders (as defined below) described below of owning and disposing of our Ordinary Shares or warrants, which we sometimes refer to collectively as our securities. It is not a comprehensive description of all tax considerations that may be relevant to a particular person’s decision to acquire our securities. This discussion applies only to a U.S. Holder that is an initial purchaser of securities pursuant to the offering and that holds our securities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insurance companies, and certain other financial institutions;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mutual funds and pension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expatriates and certain former citizens or long-term residents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dealers or traders in securities or currencies, or who use a mark-to-market method of tax accounting;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our securities as part of a hedging transaction, “straddle,” “hedge,” “conversion,” “synthetic security,” “constructive ownership transaction,” “constructive sale” or other integrated transaction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“functional currency” for U.S. federal income tax purposes is not the U.S. dollar;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 dealers or traders in securities, commodities or currencies;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 (including private foundations) or government organizations;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entities classified for U.S. federal income tax purposes as S corporations, or partnerships;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 or real estate investment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trusts and estates;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acquired our securities pursuant to the exercise of any employee stock option or otherwise as compensation, or who otherwise acquired the securities in connection with the performance of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our securities in connection with a trade or business, permanent establishment, or fixed base outside the United States;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own (directly or through attribution) 10% or more (by vote or value) of our outstanding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entity that is classified as a partnership for U.S. federal income tax purposes holds our securities, the U.S. federal income tax treatment of a partner will generally depend on the status of the partner and the activities of the partnership. Partnerships holding our securities and partners in such partnerships are encouraged to consult their tax advisors as to the particular U.S. federal income tax consequences of holding and disposing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is based on the Code, administrative pronouncements, judicial decisions, final, temporary and proposed Treasury Regulations, all as of the date hereof, changes to any of which may affect the tax consequences described herein — possibly with retroactive effect.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U.S. Holder</w:t>
      </w:r>
      <w:r>
        <w:rPr>
          <w:rFonts w:ascii="Times New Roman PS Std;serif" w:hAnsi="Times New Roman PS Std;serif"/>
          <w:b w:val="false"/>
          <w:i w:val="false"/>
          <w:caps w:val="false"/>
          <w:smallCaps w:val="false"/>
          <w:sz w:val="20"/>
        </w:rPr>
        <w:t>” is a holder who, for U.S. federal income tax purposes, is a beneficial owner of our securities and is: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individual who is a citizen or individual resident of the United States;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corporation, or other entity taxable as a corporation, created or organized in or under the laws of the United States, any state therein or the District of Columbia;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 estate the income of which is subject to U.S. federal income taxation regardless of its source;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CONSIDERING AN INVESTMENT IN OUR SECURITIES SHOULD CONSULT THEIR OWN TAX ADVISORS AS TO THE PARTICULAR TAX CONSEQUENCES APPLICABLE TO THEM RELATING TO THE ACQUISITION, OWNERSHIP AND DISPOSITION OF THE SECURITIES, INCLUDING THE APPLICABILITY OF U.S. FEDERAL, STATE AND LOCAL TAX LAWS.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under “Passive Foreign Investment Company Rules,” the gross amount of distributions paid on Ordinary Shares, other than certain pro rata distributions of Ordinary Shares, before reduction for any French withholding taxes, will generally be treated as dividends to the extent paid out of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its Ordinary Shares. Any remaining excess will be treated as gain realized on the sale or other disposition of the Ordinary Shares and will be treated as described below under “Sale or Other Taxable Disposition of Ordinary Shares.” We generally do not expect to maintain calculations of our earnings and profits under United States federal income tax principles and, therefore, if a U.S. Holder should expect that the entire amount of any distribution generally will be reported as a dividend to such U.S.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limitations, amounts treated as dividend income to certain non-corporate U.S. Holders may be taxable at preferential rates applicable to “qualified dividend income” if we are a “qualified foreign corporation” and certain other requirements are met. However, the qualified dividend income treatment will not apply if we are treated as a PFIC (as defined below) with respect to the U.S. Holder.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rights to acquire Ordinary Shares) will be the fair market value of such property on the date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foreign tax credit limitation purposes, our dividends will generally be treated as passive category income. The rules governing foreign tax credits are complex and U.S. Holders should therefore consult their tax advisors regarding the effect of the receipt of dividends for foreign tax credit limitation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limitations, non-U.S. income taxes withheld from dividends on Ordinary Shares may be eligible for credit against the U.S. Holder’s U.S. federal income tax liability. The U.S. tax rules governing eligibility for foreign tax credits are complex and U.S. Holders are urged to consult their tax advisors regarding the creditability of foreign taxes withheld with respect to dividends or other distributions on Ordinary Shares in their particular circumstances. In lieu of claiming a foreign tax credit, a U.S. Holder may deduct foreign taxes in computing their taxable income, subject to generally applicable limitations under U.S. law. An election to deduct foreign taxes instead of claiming foreign tax credits applies to all foreign taxes paid or accrued in the taxable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 or Other Taxable Disposition of Ordinary Shares or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under “Passive Foreign Investment Company Rules,” gain or loss realized on the sale or other taxable disposition of our securities will be capital gain or loss, and will be long-term capital gain or loss if the U.S. Holder held the securities for more than one year at the time of sale or other taxable disposition. The amount of the gain or loss will equal the difference between the U.S. Holder’s tax basis in the securities disposed of and the amount realized on the disposition, in each case as determined in U.S. dollars. This gain or loss will generally be U.S.-source gain or loss for foreign tax credit purposes. Subject to the PFIC rules described below, long-term capital gains recognized by certain non-corporate U.S. Holders (including individuals) will generally be subject to reduced rates of U.S. federal income tax. The deductibility of capital losses is subject to limitations.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Exercise or Lapse of a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discussed below with respect to the cashless exercise of a warrant, a U.S. Holder generally will not recognize taxable gain or loss upon the exercise of a warrant for cash. The U.S. Holder’s initial tax basis in our Ordinary Shares received upon exercise of the warrant will generally be an amount equal to the sum of the U.S. Holder’s acquisition cost of the warrant and the exercise price of such warrant. It is unclear whether a U.S. Holder’s holding period for the Ordinary Shares received upon exercise of the warrant would commence on the date of exercise of the warrant or the day following the date of exercise of the warrant; however, in either case the holding period will not include the period during which the U.S. Holder held the warrants. If a warrant is allowed to lapse unexercised, a U.S. Holder generally will recognize a capital loss equal to such holder’s tax basis in the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consequences of a cashless exercise of a warrant are not clear under current U.S. federal tax law. A cashless exercise may be nontaxable, either because the exercise is not a realization event or because the exercise is treated as a recapitalization for U.S. federal income tax purposes. In either situation, a U.S. Holder’s initial tax basis in the Ordinary Shares received generally should equal the holder’s adjusted tax basis in the warrant. If the cashless exercise were treated as not being a realization event, it is unclear whether a U.S. Holder’s holding period for the Ordinary Shares would commence on the date of exercise of the warrant or the day following the date of exercise of the warrant; in either case, the holding period would not include the period during which the U.S. Holder held the warrant. If, instead, the cashless exercise were treated as a recapitalization, the holding period of the Ordinary Shares generally would include the holding period of the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also possible that a cashless exercise of a warrant could be treated in part as a taxable exchange in which gain or loss is recognized. In such event, a U.S. Holder could be deemed to have surrendered a portion of the warrants being exercised having a value equal to the exercise price of such warrants in satisfaction of such exercise price. Although not free from doubt, such U.S. Holder generally should recognize capital gain or loss in an amount equal to the difference between the fair market value of the warrants deemed surrendered to satisfy the exercise price and the U.S. Holder’s adjusted tax basis in such warrants. In this case, a U.S. Holder’s initial tax basis in the Ordinary Shares received would equal the sum of the exercise price and the U.S. holder’s adjusted tax basis in the warrants exercised. It is unclear whether a U.S. Holder’s holding period for the Ordinary Shares would commence on the date of exercise of the warrant or the day following the date of exercise of the warrant; in either case, the holding period would not include the period during which the U.S. Holder held the warrant. Due to the uncertainty and absence of authority on the U.S. federal income tax treatment of a cashless exercise, including when a U.S. Holder’s holding period would commence with respect to the Ordinary Shares received, U.S. Holders are urged to consult their tax advisors regarding the tax consequences of a cashless exercise.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passive foreign investment company under Section 1297 of the Code (a “</w:t>
      </w:r>
      <w:r>
        <w:rPr>
          <w:rFonts w:ascii="Times New Roman PS Std;serif" w:hAnsi="Times New Roman PS Std;serif"/>
          <w:b/>
          <w:i w:val="false"/>
          <w:caps w:val="false"/>
          <w:smallCaps w:val="false"/>
          <w:sz w:val="20"/>
        </w:rPr>
        <w:t>PFIC</w:t>
      </w:r>
      <w:r>
        <w:rPr>
          <w:rFonts w:ascii="Times New Roman PS Std;serif" w:hAnsi="Times New Roman PS Std;serif"/>
          <w:b w:val="false"/>
          <w:i w:val="false"/>
          <w:caps w:val="false"/>
          <w:smallCaps w:val="false"/>
          <w:sz w:val="20"/>
        </w:rPr>
        <w:t>”)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will be classified as a PFIC for any taxable year in which, after applying certain look-through rules, either: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75% of its gross income is passive income (the “</w:t>
      </w:r>
      <w:r>
        <w:rPr>
          <w:rFonts w:ascii="Times New Roman PS Std;serif" w:hAnsi="Times New Roman PS Std;serif"/>
          <w:b/>
          <w:i w:val="false"/>
          <w:caps w:val="false"/>
          <w:smallCaps w:val="false"/>
          <w:sz w:val="20"/>
        </w:rPr>
        <w:t>Income Test</w:t>
      </w:r>
      <w:r>
        <w:rPr>
          <w:rFonts w:ascii="Times New Roman PS Std;serif" w:hAnsi="Times New Roman PS Std;serif"/>
          <w:b w:val="false"/>
          <w:i w:val="false"/>
          <w:caps w:val="false"/>
          <w:smallCaps w:val="false"/>
          <w:sz w:val="20"/>
        </w:rPr>
        <w: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50% of its gross assets (determined on the basis of a quarterly average) is attributable to assets that produce passive income or are held for the production of passive income (the “</w:t>
      </w:r>
      <w:r>
        <w:rPr>
          <w:rFonts w:ascii="Times New Roman PS Std;serif" w:hAnsi="Times New Roman PS Std;serif"/>
          <w:b/>
          <w:i w:val="false"/>
          <w:caps w:val="false"/>
          <w:smallCaps w:val="false"/>
          <w:sz w:val="20"/>
        </w:rPr>
        <w:t>Asset Test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Passive income for this purpose generally includes dividends, interest, royalties, rents, gains from commodities and securities transactions, and the excess of gains over losses from the disposition of assets which produce passive income.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uncertain whether we or any of our subsidiaries will be treated as a PFIC for U.S. federal income tax purposes for the current or any subsequent tax year. The determination of whether we are a PFIC is a fact-intensive determination made on an annual basis applying principles and methodologies that in some circumstances are unclear and subject to varying interpretation. Because PFIC status is based on our income, assets, and activities for the entire taxable year, it is not possible to determine whether we will be characterized as a PFIC for the current or any future taxable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PFIC in any year with respect to which a U.S. Holder owns our securities, we will continue to be treated as a PFIC with respect to such U.S. Holder in all succeeding years during which the U.S. Holder owns the securities, regardless of whether we continue to meet the tests described above unless (i) we cease to be a PFIC and the U.S. Holder has made a “deemed sale” election under the PFIC rules, or (ii) the U.S. Holder is eligible to make and makes a QEF Election (as defined below) with respect to all taxable years during such U.S. Holders holding period in which we are a PFIC. If the “deemed sale” election is made, a U.S. Holder will be deemed to have sold the securities the U.S. Holder holds at their fair market value and any gain from such deemed sale would be subject to the rules described below. After the deemed sale election, so long as we do not become a PFIC in a subsequent taxable year, the U.S. Holder’s securities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securities. U.S. Holders should consult their tax advisors as to the possibility and consequences of making a deemed sale election if we cease to be a PFIC and such election becomes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taxable year we are treated as a PFIC with respect to U.S. Holders, U.S. Holders will be subject to special tax rules with respect to any “excess distribution” such U.S. Holder receives and any gain such U.S. Holder recognizes from a sale or other disposition (including, under certain circumstances, a pledge) of our securities, unless (i) such U.S. Holder is eligible to make and makes a QEF Election or (ii) our securities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securities will be treated as an excess distribution. Under these special tax rules: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excess distribution or gain will be allocated ratably over a U.S. Holder’s holding period for the applicable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the taxable year of disposition, and any taxable year prior to the first taxable year in which we became a PFIC, will be treated as ordinary income;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each other year will be subject to the highest tax rate in effect for that year for individuals or corporations, as appropriate, and the interest charge generally applicable to underpayments of tax will be imposed on the resulting tax attributable to each such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liability for amounts allocated to years prior to the year of disposition or “excess distribution” cannot be offset by any net operating losses for such years, and gains (but not losses) realized on the sale of the applicable securities cannot be treated as capital, even if a U.S. Holder holds the securities as capital assets.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elections exist that may alleviate some of the adverse consequences of PFIC status and would result in an alternative treatment of our securities. A U.S. Holder may avoid the general tax treatment for PFICs described above by electing to treat us as a “qualified electing fund” under Section 1295 of the Code (a “</w:t>
      </w:r>
      <w:r>
        <w:rPr>
          <w:rFonts w:ascii="Times New Roman PS Std;serif" w:hAnsi="Times New Roman PS Std;serif"/>
          <w:b/>
          <w:i w:val="false"/>
          <w:caps w:val="false"/>
          <w:smallCaps w:val="false"/>
          <w:sz w:val="20"/>
        </w:rPr>
        <w:t>QEF</w:t>
      </w:r>
      <w:r>
        <w:rPr>
          <w:rFonts w:ascii="Times New Roman PS Std;serif" w:hAnsi="Times New Roman PS Std;serif"/>
          <w:b w:val="false"/>
          <w:i w:val="false"/>
          <w:caps w:val="false"/>
          <w:smallCaps w:val="false"/>
          <w:sz w:val="20"/>
        </w:rPr>
        <w:t>,” and such election, a “</w:t>
      </w:r>
      <w:r>
        <w:rPr>
          <w:rFonts w:ascii="Times New Roman PS Std;serif" w:hAnsi="Times New Roman PS Std;serif"/>
          <w:b/>
          <w:i w:val="false"/>
          <w:caps w:val="false"/>
          <w:smallCaps w:val="false"/>
          <w:sz w:val="20"/>
        </w:rPr>
        <w:t>QEF Election</w:t>
      </w:r>
      <w:r>
        <w:rPr>
          <w:rFonts w:ascii="Times New Roman PS Std;serif" w:hAnsi="Times New Roman PS Std;serif"/>
          <w:b w:val="false"/>
          <w:i w:val="false"/>
          <w:caps w:val="false"/>
          <w:smallCaps w:val="false"/>
          <w:sz w:val="20"/>
        </w:rPr>
        <w:t>”) for each of the taxable years during the U.S. Holder’s holding period that we are a PFIC. If a QEF Election is not in effect for the first taxable year in the U.S. Holder’s holding period in which we are a PFIC, a QEF Election generally can only be made if the U.S. Holder elects to make an applicable deemed sale or deemed dividend election on the first day of its taxable year in which the PFIC becomes a QEF pursuant to the QEF Election. The deemed gain or deemed dividend recognized with respect to such an election would be subject to the general tax treatment of PFICs discussed above. In order to comply with the requirements of a QEF Election, a U.S. Holder must receive a PFIC Annual Information Statement from us. However, we do not expect that we will be providing the information necessary for U.S. Holders to make or maintain a QEF Election, and we do not expect to make any such undertaking to provide such information in the event that we are a PFIC.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makes a QEF Election with respect to a PFIC, it will be taxed currently on its pro rata share of the PFIC’s ordinary earnings and net capital gain (at ordinary income and capital gain rates, respectively) for each taxable year that the entity is a PFIC, even if no distributions were received. Any distributions we make out of our earnings and profits that were previously included in such a U.S. Holder’s income under the QEF Election would not be taxable to such U.S. Holder. Such U.S. Holder’s tax basis in its applicable securities would be increased by an amount equal to any income included under the QEF Election and decreased by any amount distributed on such securities that is not included in its income. In addition, a U.S. Holder will recognize capital gain or loss on the disposition of its securities in an amount equal to the difference between the amount realized and its adjusted tax basis in the securities, each as determined in U.S. dollars. Once made, a QEF Election remains in effect unless invalidated or terminated by the IRS or revoked by the shareholder. A QEF Election can be revoked only with the consent of the IRS. A U.S. Holder will not be currently taxed on the ordinary income and net capital gain of a PFIC with respect to which a QEF Election was made for any taxable year of the non-U.S. corporation that such corporation does not satisfy the Income Test or Asset Test. Each U.S. Holder should consult its tax advisor regarding the availability of, and procedure for making, any deemed gain, deemed dividend or QEF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U.S. Holders can avoid the interest charge on excess distributions or gain relating to the securities by making a mark-to-market election with respect to the securities, provided that the securities constitute “marketable stock.” “Marketable stock” is, generally, stock that is “regularly traded” on certain U.S. stock exchanges or on a foreign stock exchange that meets certain conditions. For these purposes, the securities will be considered regularly traded during any calendar year during which they are traded, other than in de minimis quantities, on at least 15 days during each calendar quarter. Any trades that have as their principal purpose meeting this requirement will be disregarded. Our securities are listed on Nasdaq, which is a qualified exchange for these purposes. Consequently, if our securities remain listed on Nasdaq and are regularly traded, and you are a U.S. Holder of securities, we expect the mark-to-market election would be available to you if we are a classified as a PFIC. Each U.S. Holder should consult its tax advisor as to the whether a mark-to-market election is available or advisable with respect to the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that makes a mark-to-market election must include in ordinary income for each year an amount equal to the excess, if any, of the fair market value of the applicable securities at the close of the taxable year over the U.S. Holder’s adjusted tax basis in such securities. An electing holder may also claim an ordinary loss deduction for the excess, if any, of the U.S. Holder’s adjusted basis in such securities over the fair market value of the securities at the close of the taxable year, but this deduction is allowable only to the extent of any net mark-to-market gains for prior years. Gains from an actual sale or other disposition of the securities will be treated as ordinary income, and any losses incurred on a sale or other disposition of the shares will be treated as an ordinary loss to the extent of any net mark-to-market gains for prior years. Once made, the election cannot be revoked without the consent of the IRS, unless such securities cease to be marketable.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provided by the IRS, each U.S. shareholder of a PFIC is required to file an annual report containing such information as the IRS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STRONGLY URGE YOU TO CONSULT YOUR TAX ADVISOR REGARDING THE IMPACT OF OUR PFIC STATUS ON YOUR INVESTMENT IN THE ORDINARY SHARES AS WELL AS THE APPLICATION OF THE PFIC RULES TO YOUR INVESTMENT IN THE ORDINARY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on a duly executed IRS Form W-9 or otherwise establishes an exemption.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any backup withholding from a payment to a U.S. Holder may be allowed as a credit against the U.S. Holder’s U.S. federal income tax liability and may entitle the U.S. Holder to a refund, provided that the required information is timely furnished to the IRS.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with Respect to Foreign Financial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U.S. Holders who are individuals (and, under regulations, certain entities) may be required to report information relating to our securities, subject to certain exceptions (including an exception for securities held in accounts maintained by certain U.S. financial institutions), by filing IRS Form 8938 (Statement of Specified Foreign Financial Assets) with their U.S.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our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 French Tax Consequences for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describes the material French tax consequences to U.S. Holders (as defined below for the purposes of this section) of purchasing, owning and disposing of Ordinary Shares or acquiring, owning, disposing of or exercising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purport to be a complete analysis or listing of all potential tax effects of the acquisition, ownership or disposition of Ordinary Shares or the acquisition, ownership, disposal or exercise of warrants to any particular investor, and does not discuss tax considerations that arise from rules of general application or that are generally assumed to be known by investors. In addition, this discussion does not address the French tax considerations relating to the Convertible Bonds, other than those that may apply to the Ordinary Shares issued upon conversion of such Convertible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following is subject to change. Such changes could apply retroactively and could affect the consequences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description of the French income tax and real estate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 subsequent protocols, including the protocol of January 13, 2009), and the official tax guidelines issued by the French tax authorities in force as of the date hereof (the “</w:t>
      </w:r>
      <w:r>
        <w:rPr>
          <w:rFonts w:ascii="Times New Roman PS Std;serif" w:hAnsi="Times New Roman PS Std;serif"/>
          <w:b/>
          <w:i w:val="false"/>
          <w:caps w:val="false"/>
          <w:smallCaps w:val="false"/>
          <w:sz w:val="20"/>
        </w:rPr>
        <w:t>Treaty</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discussion of French tax consequences, the term “U.S. Holder” is a holder who, for U.S. federal income tax purposes, is a beneficial owner of our securities and is: (i) an individual who is a citizen or resident of the United States, (ii) a corporation or other entity taxable as a corporation, created or organized in or under the laws of the United States, any state therein or the District of Columbia, (iii) an estate whose income is eligible for inclusion in gross income for U.S. federal income tax purposes, regardless of its source, or (iv) a trust, if (a) a U.S. court is able to exercise primary supervision over the trust’s administration and one or more U.S. persons have the authority to control all substantial decisions of the trust or (b) the trust has a valid election in effect under applicable U.S. Treasury Regulations to treat the trust as a United States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(or any other entity treated as partnership for U.S. federal income tax purposes) holds Ordinary Shares or warrants, the tax treatment of the partnership and a partner in such partnership generally will depend upon the status of the partner and the activities of the partnership. If a U.S. Holder is a partnership or a partner in a partnership that holds Ordinary Shares or warrants, such holder is urged to consult its own tax advisor regarding the specific tax consequences of acquiring, owning and disposing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applies only to investors that hold Ordinary Shares or warrants as capital assets that have the U.S. dollar as their functional currency, that are entitled to Treaty benefits under the “Limitation on Benefits” provision contained in the Treaty, and whose ownership of Ordinary Shares or warrants is not effectively connected to a permanent establishment or a fixed base in 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securities pursuant to the exercise of employee share warrants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securities as a position in a synthetic security, straddle or conversion transaction) may be subject to special rules not discussed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are urged to consult their own tax advisors regarding the tax consequences of the purchase, ownership and disposition of securities in light of their particular circumstances, especially with regard to the “Limitations on Benefits” provision.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Assets held through a Trust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 introduced a comprehensive set of tax rules applicable to French assets that are held by or in foreign trusts. These rules, among other things, provide for the inclusion of trust assets in the settlor’s net assets for purpose of applying the French real estate wealth tax, for the application of French gift and inheritance duties to French assets held in trust, for a specific tax on capital on the French assets of foreign trusts not already subject to the French real estate wealth tax and for a number of French tax reporting and disclosure obligations. The following discussion does not address the French tax consequences applicable to Ordinary Shares or warrants held in trusts. If Ordinary Shares or warrants are held in trust, the settlor, trustee and beneficiary are urged to consult their own tax advisor regarding the specific tax consequences of acquiring, owning and disposing of Ordinary Shares or of acquiring, owning disposing of or exercising warrants through a trust.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Estate and Gift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a transfer of securities by gift or by reason of death of a U.S. Holder that would otherwise be subject to French gift or inheritance tax, respectively, will not be subject to such French tax based on the Convention between the Government of the United States of America and the Government of the French Republic for the Avoidance of Double Taxation and the Prevention of Fiscal Evasion with Respect to Taxes on Estates, Inheritances and Gifts, dated November 24, 1978 (as amended by the protocol dated from December 8, 2004), unless the donor or the transferor is domiciled in France at the time of making the gift or at the time of his or her death, or the securities were used in, or held for use in, the conduct of a business through a permanent establishment or a fixed base in France.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Financial Transactions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Article 235 </w:t>
      </w:r>
      <w:r>
        <w:rPr>
          <w:rFonts w:ascii="Times New Roman PS Std;serif" w:hAnsi="Times New Roman PS Std;serif"/>
          <w:b w:val="false"/>
          <w:i/>
          <w:caps w:val="false"/>
          <w:smallCaps w:val="false"/>
          <w:sz w:val="20"/>
        </w:rPr>
        <w:t>ter</w:t>
      </w:r>
      <w:r>
        <w:rPr>
          <w:rFonts w:ascii="Times New Roman PS Std;serif" w:hAnsi="Times New Roman PS Std;serif"/>
          <w:b w:val="false"/>
          <w:i w:val="false"/>
          <w:caps w:val="false"/>
          <w:smallCaps w:val="false"/>
          <w:sz w:val="20"/>
        </w:rPr>
        <w:t xml:space="preserve"> ZD of the French Tax Code (“</w:t>
      </w:r>
      <w:r>
        <w:rPr>
          <w:rFonts w:ascii="Times New Roman PS Std;serif" w:hAnsi="Times New Roman PS Std;serif"/>
          <w:b/>
          <w:i w:val="false"/>
          <w:caps w:val="false"/>
          <w:smallCaps w:val="false"/>
          <w:sz w:val="20"/>
        </w:rPr>
        <w:t>FTC</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Code général des impôts</w:t>
      </w:r>
      <w:r>
        <w:rPr>
          <w:rFonts w:ascii="Times New Roman PS Std;serif" w:hAnsi="Times New Roman PS Std;serif"/>
          <w:b w:val="false"/>
          <w:i w:val="false"/>
          <w:caps w:val="false"/>
          <w:smallCaps w:val="false"/>
          <w:sz w:val="20"/>
        </w:rPr>
        <w:t>), a financial transaction tax (“</w:t>
      </w:r>
      <w:r>
        <w:rPr>
          <w:rFonts w:ascii="Times New Roman PS Std;serif" w:hAnsi="Times New Roman PS Std;serif"/>
          <w:b/>
          <w:i w:val="false"/>
          <w:caps w:val="false"/>
          <w:smallCaps w:val="false"/>
          <w:sz w:val="20"/>
        </w:rPr>
        <w:t>FTT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taxe sur les transactions financières</w:t>
      </w:r>
      <w:r>
        <w:rPr>
          <w:rFonts w:ascii="Times New Roman PS Std;serif" w:hAnsi="Times New Roman PS Std;serif"/>
          <w:b w:val="false"/>
          <w:i w:val="false"/>
          <w:caps w:val="false"/>
          <w:smallCaps w:val="false"/>
          <w:sz w:val="20"/>
        </w:rPr>
        <w:t xml:space="preserve">) applies, subject to certain conditions and exemptions, to certain acquisitions of equity securities or equivalent instruments of French companies, including ordinary shares, whose market capitalization exceeds €1 billion as of December 1st of the year preceding the year during which the taxable acquisition takes place, and whose shares are admitted to trading on a regulated market within the European Union, the European Economic Area or a foreign regulated market formally recognized as such by the </w:t>
      </w:r>
      <w:r>
        <w:rPr>
          <w:rFonts w:ascii="Times New Roman PS Std;serif" w:hAnsi="Times New Roman PS Std;serif"/>
          <w:b w:val="false"/>
          <w:i/>
          <w:caps w:val="false"/>
          <w:smallCaps w:val="false"/>
          <w:sz w:val="20"/>
        </w:rPr>
        <w:t xml:space="preserve">Autorité des Marchés Financiers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AMF</w:t>
      </w:r>
      <w:r>
        <w:rPr>
          <w:rFonts w:ascii="Times New Roman PS Std;serif" w:hAnsi="Times New Roman PS Std;serif"/>
          <w:b w:val="false"/>
          <w:i w:val="false"/>
          <w:caps w:val="false"/>
          <w:smallCaps w:val="false"/>
          <w:sz w:val="20"/>
        </w:rPr>
        <w:t>”) (in each case within the meaning of the French Monetary and Financial Code, or the “</w:t>
      </w:r>
      <w:r>
        <w:rPr>
          <w:rFonts w:ascii="Times New Roman PS Std;serif" w:hAnsi="Times New Roman PS Std;serif"/>
          <w:b/>
          <w:i w:val="false"/>
          <w:caps w:val="false"/>
          <w:smallCaps w:val="false"/>
          <w:sz w:val="20"/>
        </w:rPr>
        <w:t>FMFC</w:t>
      </w:r>
      <w:r>
        <w:rPr>
          <w:rFonts w:ascii="Times New Roman PS Std;serif" w:hAnsi="Times New Roman PS Std;serif"/>
          <w:b w:val="false"/>
          <w:i w:val="false"/>
          <w:caps w:val="false"/>
          <w:smallCaps w:val="false"/>
          <w:sz w:val="20"/>
        </w:rPr>
        <w:t xml:space="preserve">”). The tax is currently levied at a rate of 0.4% of the acquisition price of the shares. Specific exemptions may apply such as the primary market transaction exemption provided by Article 235 </w:t>
      </w:r>
      <w:r>
        <w:rPr>
          <w:rFonts w:ascii="Times New Roman PS Std;serif" w:hAnsi="Times New Roman PS Std;serif"/>
          <w:b w:val="false"/>
          <w:i/>
          <w:caps w:val="false"/>
          <w:smallCaps w:val="false"/>
          <w:sz w:val="20"/>
        </w:rPr>
        <w:t>ter</w:t>
      </w:r>
      <w:r>
        <w:rPr>
          <w:rFonts w:ascii="Times New Roman PS Std;serif" w:hAnsi="Times New Roman PS Std;serif"/>
          <w:b w:val="false"/>
          <w:i w:val="false"/>
          <w:caps w:val="false"/>
          <w:smallCaps w:val="false"/>
          <w:sz w:val="20"/>
        </w:rPr>
        <w:t xml:space="preserve"> ZD II 1° of the FTC.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French relevant companies whose market capitalization exceeds €1 billion as of December 1st of the year preceding the taxation year is published annually by the French tax authorities. The last version of such list was dated December 17, 2025 (BOI-ANNX-000467-17/12/2025). It did not include the Company as its shares were not admitted to trading, on December 1st 2025, on a regulated market within the European Union, the European Economic Area or a foreign regulated market formally recognized as such by the AMF.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Nasdaq Global Market, on which the Ordinary Shares are listed, is not currently recognized by the AMF, but this may change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acquisitions for consideration of Ordinary Shares should not in principle fall within the scope of the FTT.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current French legislation, the issuance or transfer of warrants and the delivery of newly issued shares upon exercise of such warrants should not be subject to the FTT.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Duties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equity or similar securities subject to the abovementioned FTT are exempt from registration taxes provided for by Article 726 of the FTC.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where the FTT is not applicable, (1) transfers of shares issued by a French company, including potentially the delivery of existing shares upon exercise of warrants, which are listed on a regulated or organized market within the meaning of the FMFC are subject to uncapped registration duties at the rate of 0.1% if the transfer is evidenced by a written deed (“</w:t>
      </w:r>
      <w:r>
        <w:rPr>
          <w:rFonts w:ascii="Times New Roman PS Std;serif" w:hAnsi="Times New Roman PS Std;serif"/>
          <w:b w:val="false"/>
          <w:i/>
          <w:caps w:val="false"/>
          <w:smallCaps w:val="false"/>
          <w:sz w:val="20"/>
        </w:rPr>
        <w:t>acte</w:t>
      </w:r>
      <w:r>
        <w:rPr>
          <w:rFonts w:ascii="Times New Roman PS Std;serif" w:hAnsi="Times New Roman PS Std;serif"/>
          <w:b w:val="false"/>
          <w:i w:val="false"/>
          <w:caps w:val="false"/>
          <w:smallCaps w:val="false"/>
          <w:sz w:val="20"/>
        </w:rPr>
        <w:t>”) executed either in France or outside France, whereas (2) transfers of shares issued by a French company which are not listed on a regulated or organized market within the meaning of the FMFC are subject to uncapped registration duties at the rate of 0.1% notwithstanding the existence of a written deed.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issuance or sale of warrants are not subject to registration taxes provided for by Article 726 of the FTC which only applies to transfers of </w:t>
      </w:r>
      <w:r>
        <w:rPr>
          <w:rFonts w:ascii="Times New Roman PS Std;serif" w:hAnsi="Times New Roman PS Std;serif"/>
          <w:b w:val="false"/>
          <w:i/>
          <w:caps w:val="false"/>
          <w:smallCaps w:val="false"/>
          <w:sz w:val="20"/>
        </w:rPr>
        <w:t>droits sociaux</w:t>
      </w:r>
      <w:r>
        <w:rPr>
          <w:rFonts w:ascii="Times New Roman PS Std;serif" w:hAnsi="Times New Roman PS Std;serif"/>
          <w:b w:val="false"/>
          <w:i w:val="false"/>
          <w:caps w:val="false"/>
          <w:smallCaps w:val="false"/>
          <w:sz w:val="20"/>
        </w:rPr>
        <w:t xml:space="preserve"> (i.e., equity interests such as shares (</w:t>
      </w:r>
      <w:r>
        <w:rPr>
          <w:rFonts w:ascii="Times New Roman PS Std;serif" w:hAnsi="Times New Roman PS Std;serif"/>
          <w:b w:val="false"/>
          <w:i/>
          <w:caps w:val="false"/>
          <w:smallCaps w:val="false"/>
          <w:sz w:val="20"/>
        </w:rPr>
        <w:t>action</w:t>
      </w:r>
      <w:r>
        <w:rPr>
          <w:rFonts w:ascii="Times New Roman PS Std;serif" w:hAnsi="Times New Roman PS Std;serif"/>
          <w:b w:val="false"/>
          <w:i w:val="false"/>
          <w:caps w:val="false"/>
          <w:smallCaps w:val="false"/>
          <w:sz w:val="20"/>
        </w:rPr>
        <w:t>s) and partnership interests (</w:t>
      </w:r>
      <w:r>
        <w:rPr>
          <w:rFonts w:ascii="Times New Roman PS Std;serif" w:hAnsi="Times New Roman PS Std;serif"/>
          <w:b w:val="false"/>
          <w:i/>
          <w:caps w:val="false"/>
          <w:smallCaps w:val="false"/>
          <w:sz w:val="20"/>
        </w:rPr>
        <w:t>parts sociales</w:t>
      </w:r>
      <w:r>
        <w:rPr>
          <w:rFonts w:ascii="Times New Roman PS Std;serif" w:hAnsi="Times New Roman PS Std;serif"/>
          <w:b w:val="false"/>
          <w:i w:val="false"/>
          <w:caps w:val="false"/>
          <w:smallCaps w:val="false"/>
          <w:sz w:val="20"/>
        </w:rPr>
        <w:t xml:space="preserve">)). The issuance of warrants does not constitute a transfer of </w:t>
      </w:r>
      <w:r>
        <w:rPr>
          <w:rFonts w:ascii="Times New Roman PS Std;serif" w:hAnsi="Times New Roman PS Std;serif"/>
          <w:b w:val="false"/>
          <w:i/>
          <w:caps w:val="false"/>
          <w:smallCaps w:val="false"/>
          <w:sz w:val="20"/>
        </w:rPr>
        <w:t>droits sociaux</w:t>
      </w:r>
      <w:r>
        <w:rPr>
          <w:rFonts w:ascii="Times New Roman PS Std;serif" w:hAnsi="Times New Roman PS Std;serif"/>
          <w:b w:val="false"/>
          <w:i w:val="false"/>
          <w:caps w:val="false"/>
          <w:smallCaps w:val="false"/>
          <w:sz w:val="20"/>
        </w:rPr>
        <w:t xml:space="preserve"> within the meaning of Article 726 of the FTC, as interpreted by the French guidelines (BOI-ENR-DMTOM-40-24/04/2024 and BOI-ENR-DMTOM-40-10-10-12/08/2026).</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Real Estate Wealth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January 1, 2018, the French wealth tax (</w:t>
      </w:r>
      <w:r>
        <w:rPr>
          <w:rFonts w:ascii="Times New Roman PS Std;serif" w:hAnsi="Times New Roman PS Std;serif"/>
          <w:b w:val="false"/>
          <w:i/>
          <w:caps w:val="false"/>
          <w:smallCaps w:val="false"/>
          <w:sz w:val="20"/>
        </w:rPr>
        <w:t>impôt de solidarité sur la fortune</w:t>
      </w:r>
      <w:r>
        <w:rPr>
          <w:rFonts w:ascii="Times New Roman PS Std;serif" w:hAnsi="Times New Roman PS Std;serif"/>
          <w:b w:val="false"/>
          <w:i w:val="false"/>
          <w:caps w:val="false"/>
          <w:smallCaps w:val="false"/>
          <w:sz w:val="20"/>
        </w:rPr>
        <w:t>) has been repealed and replaced by the French real estate wealth tax (</w:t>
      </w:r>
      <w:r>
        <w:rPr>
          <w:rFonts w:ascii="Times New Roman PS Std;serif" w:hAnsi="Times New Roman PS Std;serif"/>
          <w:b w:val="false"/>
          <w:i/>
          <w:caps w:val="false"/>
          <w:smallCaps w:val="false"/>
          <w:sz w:val="20"/>
        </w:rPr>
        <w:t>impôt sur la fortune immobilière</w:t>
      </w:r>
      <w:r>
        <w:rPr>
          <w:rFonts w:ascii="Times New Roman PS Std;serif" w:hAnsi="Times New Roman PS Std;serif"/>
          <w:b w:val="false"/>
          <w:i w:val="false"/>
          <w:caps w:val="false"/>
          <w:smallCaps w:val="false"/>
          <w:sz w:val="20"/>
        </w:rPr>
        <w:t>). The scope of the French real estate wealth tax is narrowed to real estate assets (and certain assets deemed to be real estate assets) or rights, held directly or indirectly through one or more legal entities and whose net taxable assets amount at least to €1,300,000.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Broadly, subject to provisions of double tax treaties and to certain exceptions, individuals who are not residents of France for tax purposes within the meaning of Article 4 B of the FTC, are subject to real estate wealth tax in France in respect of the portion of the value of their shares representing real estate assets (Article 965, 2° of the FTC). Some exceptions are provided by the FTC. For instance, any participations representing less than 10% of the share capital of an operating company and shares representing real estate for the professional use of the company considered shall not fall within the scope of the French real estate wealth tax. Under the Treaty (the provisions of which should be applicable to the real estate wealth tax in France), the French real estate wealth tax will however generally not apply to securities held by an eligible U.S. Holder who is a U.S. resident, as defined above and pursuant to the provisions of the Treaty, provided that such (i) U.S. Holder (a) does not own directly or indirectly more than 25% of the issuer’s financial rights and (b) that the securities do not form part of the business property of a permanent establishment or fixed base in France and (ii) that the issuer’s assets do not consist in at least 50 percent of real property located in France, or that the issuer’s shares do not derive at least 50 percent of their value, directly or indirectly, from real property located in 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are advised to consult their own tax advisor regarding the specific tax consequences which may apply to their particular situation with respect to such French real estate wealth tax.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paid by a French corporation, when their beneficial owners are not French tax residents are generally subject to French withholding tax at a rate of currently (i) 25% for dividends the beneficial owners of which are legal persons which are not French tax residents, and (ii) 12.8% for dividends the beneficial owners of which are individuals who are not French tax residents. Dividends paid by a French corporation in a non-cooperative State or territory, as defined in Article 238-0 A of the FTC, other than those states or territories mentioned in 2° of 2 bis of the same Article, will generally be subject to French withholding tax at a rate of 75% (unless the safeguard clause provided for by Article 187, 2 of the FTC were to apply). For the detailed list of jurisdictions and territories currently included in such list, please refer to the section below “Tax on capital gains upon Sale or Other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eligible U.S. Holders entitled to Treaty benefits under the “Limitation on Benefits” provision contained in the Treaty who are U.S. residents, as defined pursuant to the provisions of the Treaty, may not be subject to this 12.8%, 25% or 75% withholding tax rate, but may be subject to the withholding tax at a reduced rate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Treaty, the rate of the French withholding tax on dividends paid to an eligible U.S. Holder who is a U.S. resident as defined pursuant to the provisions of the Treaty and the beneficial owner of these dividends, whose ownership of the Ordinary Shares is not effectively connected with a permanent establishment or fixed base that such U.S. Holder has in France, is generally reduced to 15%, or to 5% if such U.S. Holder is a corporation and owns directly or indirectly at least 10% of the share capital of the issuer; such U.S. Holder may under certain conditions claim a refund from the French tax authorities of the amount withheld in excess of the Treaty rates of 15% or 5%, if 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advisers regarding their eligibility for Treaty benefits in light of their own particular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paid to an eligible U.S. Holder may immediately be subject to the reduced rates of 5% or 15% provided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U.S. Holder establishes before the date of payment that it is a U.S. resident under the Treaty by completing and providing the depositary with a treaty form (Form 5000) in accordance with French guidelines (BOI-INT-DG-20-20-20-20-12/09/2012);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or other financial institution managing the securities account in the United States of such U.S. Holder provides the French paying agent, with a document listing certain information about the U.S. Holder and its Ordinary Shares and a certificate (BOI-LETTRE-000138-28/07/2014) whereby the financial institution managing the U.S. Holder’s securities account in the United States takes full responsibility for the accuracy of the information provided in the document.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Otherwise, dividends paid to a U.S. Holder, if such U.S. Holder is a legal person, will be subject to French withholding tax at the rate of 25%, or 75% if paid to an account situated in a non-cooperative State or territory (as defined in Article 238-0 A of the FTC, but other than those states or territories mentioned in 2° of 2 bis of the same Article 238-0 A of the FTC, unless the safeguard clause provided for by Article 187, 2 of the FTC were to apply), and then reduced at a later date to 5% or 15%, provided that such holder duly completes and provides the French tax authorities with the treaty forms Form 5000 and Form 5001 before December 31 of the second year following the year during which the dividend is paid.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qualifying pension funds and certain other tax-exempt entities are generally subject to the same general filing requirements as other U.S. Holders except that they may have to supply additional documentation evidencing their entitlement to these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 withholding tax rate applicable under French domestic law to U.S. Holders who are individuals does not exceed the cap provided in the Treaty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15%), the 12.8% rate shall apply, without any reduction provided under the Treaty.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Besides, please note that pursuant to Article 235 </w:t>
      </w:r>
      <w:r>
        <w:rPr>
          <w:rFonts w:ascii="Times New Roman PS Std;serif" w:hAnsi="Times New Roman PS Std;serif"/>
          <w:b w:val="false"/>
          <w:i/>
          <w:caps w:val="false"/>
          <w:smallCaps w:val="false"/>
          <w:sz w:val="20"/>
        </w:rPr>
        <w:t>quater</w:t>
      </w:r>
      <w:r>
        <w:rPr>
          <w:rFonts w:ascii="Times New Roman PS Std;serif" w:hAnsi="Times New Roman PS Std;serif"/>
          <w:b w:val="false"/>
          <w:i w:val="false"/>
          <w:caps w:val="false"/>
          <w:smallCaps w:val="false"/>
          <w:sz w:val="20"/>
        </w:rPr>
        <w:t xml:space="preserve"> of the FTC and under certain conditions, a corporate U.S. Holder which is in a tax loss position for the fiscal year during which the dividend is received may be entitled to a deferral regime, and obtain a withholding tax refund. The tax deferral ends in respect of the first financial year during which this U.S. Holder is in a profit-making position, as well as in the cases set out in Article 235 </w:t>
      </w:r>
      <w:r>
        <w:rPr>
          <w:rFonts w:ascii="Times New Roman PS Std;serif" w:hAnsi="Times New Roman PS Std;serif"/>
          <w:b w:val="false"/>
          <w:i/>
          <w:caps w:val="false"/>
          <w:smallCaps w:val="false"/>
          <w:sz w:val="20"/>
        </w:rPr>
        <w:t>quater</w:t>
      </w:r>
      <w:r>
        <w:rPr>
          <w:rFonts w:ascii="Times New Roman PS Std;serif" w:hAnsi="Times New Roman PS Std;serif"/>
          <w:b w:val="false"/>
          <w:i w:val="false"/>
          <w:caps w:val="false"/>
          <w:smallCaps w:val="false"/>
          <w:sz w:val="20"/>
        </w:rPr>
        <w:t xml:space="preserve"> of the FTC. Finance Bill for 2022 extended the deadline to claim the refund (December 31 of the second year following the year of payment instead of three months after the end of the fiscal year following the payment of the income) and clarified the order in which the deferred taxes become due (the forfeiture of the deferral applies in priority to the oldest withholding taxes). Also, pursuant to Article 235 </w:t>
      </w:r>
      <w:r>
        <w:rPr>
          <w:rFonts w:ascii="Times New Roman PS Std;serif" w:hAnsi="Times New Roman PS Std;serif"/>
          <w:b w:val="false"/>
          <w:i/>
          <w:caps w:val="false"/>
          <w:smallCaps w:val="false"/>
          <w:sz w:val="20"/>
        </w:rPr>
        <w:t>quinquies</w:t>
      </w:r>
      <w:r>
        <w:rPr>
          <w:rFonts w:ascii="Times New Roman PS Std;serif" w:hAnsi="Times New Roman PS Std;serif"/>
          <w:b w:val="false"/>
          <w:i w:val="false"/>
          <w:caps w:val="false"/>
          <w:smallCaps w:val="false"/>
          <w:sz w:val="20"/>
        </w:rPr>
        <w:t xml:space="preserve"> of the FTC and under certain conditions, a corporate U.S. Holder may be entitled to a refund of a fraction of the withholding tax, up to the difference between the withholding tax paid (on a gross basis) and the withholding tax based on the dividend net of the expenses incurred for the acquisition and conservation directly related to the income, provided (i) that these expenses would have been tax deductible had the U.S. Holder been established in France, and (ii) that the tax rules in the United States do not allow the U.S. Holder to offset the withholding tax.</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capital gains upon Sale or Other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Articles 244 bis B and 244 bis C of the FTC, the exercise, sale or redemption of warrants, or the sale of Ordinary Shares issued upon exercise of such warrants, by non-French Resident Holders should not be subject to tax in France, subject to the discussion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matter of principle, under French tax law, and provided that the Company is not a real estate company within the meaning of Article 244 bis A of the FTC, a U.S. Holder should not be subject to any French tax on any capital gain from the sale, exchange, repurchase or redemption by us of Ordinary Shares, provided such U.S. Holder is not a French tax resident for French tax purposes and has not held more than 25% of our dividend rights, known as “</w:t>
      </w:r>
      <w:r>
        <w:rPr>
          <w:rFonts w:ascii="Times New Roman PS Std;serif" w:hAnsi="Times New Roman PS Std;serif"/>
          <w:b w:val="false"/>
          <w:i/>
          <w:caps w:val="false"/>
          <w:smallCaps w:val="false"/>
          <w:sz w:val="20"/>
        </w:rPr>
        <w:t>droits aux bénéfices sociaux</w:t>
      </w:r>
      <w:r>
        <w:rPr>
          <w:rFonts w:ascii="Times New Roman PS Std;serif" w:hAnsi="Times New Roman PS Std;serif"/>
          <w:b w:val="false"/>
          <w:i w:val="false"/>
          <w:caps w:val="false"/>
          <w:smallCaps w:val="false"/>
          <w:sz w:val="20"/>
        </w:rPr>
        <w:t>” at any time during the preceding five years, either directly or indirectly, and, as relates to individuals, alone or with relatives. In the case of redemptions, all or part of the proceeds may, under certain circumstances, be partially or fully qualified as dividends for French domestic tax purposes and therefore be subject to French dividend withholding tax subject to the application of the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exception, a U.S. Holder resident, domiciled, established or incorporated in a non-cooperative State or territory as set out in the list referred to in Article 238-0 A of the FTC other than those mentioned in 2° of 2 bis of the same Article should be subject to a 75% withholding tax in France on any such capital gain, regardless of the fraction of the dividend rights it holds, unless the safeguard clause provided by the second paragraph of Article 244 bis B of the FTC were to apply. This list of non-cooperative States or territories was last updated on April 15, 2026, and currently includes Anguilla, Antigua and Barbuda, Guam, US Virgin Islands, Palau, Panama, Russia, American Samoa, Vietnam, Turk and Caicos Islands and Vanuatu. States and territories referred to in Article 238-0 A 2 bis 2° of the FTC, and thus outside of the scope of the provisions of Article 244 bis B of the FTC mentioned in this paragraph, are currently Guam, US Virgin Islands, Palau, Panama, Russia, American Samoa and Vietnam.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under the Treaty, a U.S. Holder who is a U.S. resident for purposes of the Treaty and entitled to Treaty benefit will not be subject to French tax on any such capital gain from the sale, exchange, repurchase or redemption by us (other than redemption proceeds which may, under certain circumstances, be partially or fully characterized as dividends under French domestic tax law or administrative guidelines and subject to the application of the Treaty) of Ordinary Shares unless such Ordinary Shares form part of the business property of a permanent establishment or fixed base that the U.S. Holder has in France. U.S. Holders who own Ordinary Shares through U.S. partnerships that are not resident for Treaty purposes are advised to consult their own tax advisors regarding their French tax treatment and their eligibility for Treaty benefits in light of their own particular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that is not a U.S. resident for Treaty purposes or is not entitled to Treaty benefit (and in both cases is not resident, established or incorporated in a non-cooperative State or territory as set out in the list referred to in Article 238-0 A of the FTC other than those States or territories mentioned in 2° of 2 bis of the same Article 238-0 A of the FTC, unless the above mentioned safeguard clause were to apply) and has held more than 25% of our dividend rights, known as “</w:t>
      </w:r>
      <w:r>
        <w:rPr>
          <w:rFonts w:ascii="Times New Roman PS Std;serif" w:hAnsi="Times New Roman PS Std;serif"/>
          <w:b w:val="false"/>
          <w:i/>
          <w:caps w:val="false"/>
          <w:smallCaps w:val="false"/>
          <w:sz w:val="20"/>
        </w:rPr>
        <w:t>droits aux bénéfices sociaux</w:t>
      </w:r>
      <w:r>
        <w:rPr>
          <w:rFonts w:ascii="Times New Roman PS Std;serif" w:hAnsi="Times New Roman PS Std;serif"/>
          <w:b w:val="false"/>
          <w:i w:val="false"/>
          <w:caps w:val="false"/>
          <w:smallCaps w:val="false"/>
          <w:sz w:val="20"/>
        </w:rPr>
        <w:t>” at any time during the preceding five years, either directly or indirectly, and, as relates to individuals, alone or with relatives, will be subject to a levy in France at the rate of the standard corporate income tax (currently 25%), if such holder is a legal person, or 12.8%, if such holder is an individual subject to the application of any relevant tax treaty.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non-French resident entity that holds more than 25% of our dividend rights and may be subject to French tax on capital gains, Article 244 bis B of the FTC provides under certain conditions for a refund mechanism, allowing an eligible non-French resident corporate investor to claim a refund of the non-resident French capital gains tax to the extent such tax exceeds the amount of the French corporate income tax it would have borne if it had been a French resident. This refund mechanism is available to entities established in (i) an EU Member State or a Member State of the European Economic Area (EEA), other than a non-cooperative State or territory within the meaning of Article 238-0 A of the FTC that has concluded a tax treaty with France that includes an administrative assistance provision to combat tax fraud and tax evasion (an “</w:t>
      </w:r>
      <w:r>
        <w:rPr>
          <w:rFonts w:ascii="Times New Roman PS Std;serif" w:hAnsi="Times New Roman PS Std;serif"/>
          <w:b/>
          <w:i w:val="false"/>
          <w:caps w:val="false"/>
          <w:smallCaps w:val="false"/>
          <w:sz w:val="20"/>
        </w:rPr>
        <w:t>EU/EEA State</w:t>
      </w:r>
      <w:r>
        <w:rPr>
          <w:rFonts w:ascii="Times New Roman PS Std;serif" w:hAnsi="Times New Roman PS Std;serif"/>
          <w:b w:val="false"/>
          <w:i w:val="false"/>
          <w:caps w:val="false"/>
          <w:smallCaps w:val="false"/>
          <w:sz w:val="20"/>
        </w:rPr>
        <w:t>”) or (ii) a State, other than a non-cooperative State or territory that has concluded a tax treaty with France that includes an administrative assistance clause regarding the exchange of information aimed at combating tax fraud and tax evasion (a “</w:t>
      </w:r>
      <w:r>
        <w:rPr>
          <w:rFonts w:ascii="Times New Roman PS Std;serif" w:hAnsi="Times New Roman PS Std;serif"/>
          <w:b/>
          <w:i w:val="false"/>
          <w:caps w:val="false"/>
          <w:smallCaps w:val="false"/>
          <w:sz w:val="20"/>
        </w:rPr>
        <w:t>Treaty State</w:t>
      </w:r>
      <w:r>
        <w:rPr>
          <w:rFonts w:ascii="Times New Roman PS Std;serif" w:hAnsi="Times New Roman PS Std;serif"/>
          <w:b w:val="false"/>
          <w:i w:val="false"/>
          <w:caps w:val="false"/>
          <w:smallCaps w:val="false"/>
          <w:sz w:val="20"/>
        </w:rPr>
        <w:t>”), provided that the transferor is not effectively involved in the management or control of the entity whose shares are disposed of or redeemed. In addition, Article 244 bis B of the FTC also provides that specific collective investment funds established in EU/EEA States or Treaty States are excluded from the scope of the non-resident capital gain tax mentioned above under certain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Article 16 of the Finance Act for 2025 amended the provisions of Article 244 bis B of the FTC as to align with EU law, by allowing non-resident individuals to obtain, upon request to the French tax authorities, the reimbursement of the portion of the tax levy that exceeds the personal income tax they would have been liable for if they had been domiciled in France and had opted for the taxation of their securities income pursuant to the progressive income tax rates (benefiting, where applicable under certain conditions and limitations, from holding period allowances).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rules apply to U.S. Holders who are residents of more than one country.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discussion above is a summary of the material French tax consequences of an investment in our securities and is based upon laws and relevant interpretations thereof in effect as of the date hereof, all of which are subject to change, possibly with retroactive effect. It does not cover all tax matters that may be of importance to a prospective investor. Each prospective investor is urged to consult its own tax advisor about the tax consequences to it of an investment in Ordinary Shares or warrants in light of the investor’s own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119"/>
      <w:bookmarkEnd w:id="18"/>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issuance by us of up to 17,333,333 Ordinary Shares, which consists of (i) up to 9,583,333 Ordinary Shares that are issuable upon the exercise of 9,583,333 Public Warrants and (ii) up to 7,750,000 Ordinary Shares that are issuable upon the exercise of 7,750,000 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resale by the Selling Securityholders named in this prospectus, or their permitted transferees, of (i) up to 286,674,886 Ordinary Shares, consisting of (a) up to 56,287,179 Ordinary Shares issuable upon conversion of the Senior Unsecured Convertible Bonds, assuming a conversion price of $7.80 per Ordinary Share and taking into account payment-in-kind interest accrued for a period of three years from the Closing Date, (b) up to 50,080,128 Ordinary Shares issuable upon exercise of the Investment Warrants, assuming an exercise price of $7.80 per Ordinary Share, (c) up to 9,583,333 Ordinary Shares received upon conversion of 9,583,333 Bleichroeder Class B ordinary shares in connection with the Business Combination, (d) up to 7,750,000 Ordinary Shares issuable upon exercise of the Private Placement Warrants, (e) up to 162,974,246 Ordinary Shares issued to former shareholders of Legacy Pasqal in connection with the Merger, and (ii) up to 7,750,000 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sale of the securities by the Selling Securityholders. We will receive proceeds from Warrants or Investment Warrants exercised in the event that such exercises are for cash. The aggregate proceeds to the Selling Securityholders will be the purchase price of the securities less any discounts and commissions borne by the Selling Securityholders. The Selling Securityholders reserve the right to accept and, together with their agents from time to time, to reject, in whole or in part, any proposed purchase of the Ordinary Shares or Private Placement Warrants to be made directly or through agents.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Selling Securityholder and any of their pledgees, assignees, donees, transferees or other successors-in-interest may, from time to time, sell, transfer or otherwise dispose of any or all of their Ordinary Shares and Private Placement Warrants covered hereby on the principal trading market or any other stock exchange, market or trading facility on which our Ordinary Shares or Private Placement Warrants are traded or in private transactions. These sales may be at fixed or negotiated prices. A Selling Securityholder may use any one or more of the following methods when selling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broker-dealer solicits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 or more underwritten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block trades in which the broker-dealer will attempt to sell the Ordinary Shares or Private Placement Warrants as agent but may position and resell a portion of the block as principal to facilitate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purchases by a broker-dealer as principal and resale by the broker-dealer for its account;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exchange distribution in accordance with the rules of the applicable exchange;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privately negotiated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settlement of short sales;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distributions to their employees, members, partners or shareholders;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transactions through broker-dealers that agree with the Selling Securityholders to sell a specified number of such securities at a stipulated price per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the writing or settlement of options or other hedging transactions, whether through an options exchange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to one or more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delayed delivery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pledge to secure debts and other obligations;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combination of any such methods of sale;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method permitted pursuant to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may also sell Ordinary Shares or Private Placement Warrants under Rule 144 or any other exemption from registration under the Securities Act, if available, rather than under this prospectus. Broker-dealers engaged by the Selling Securityholders may arrange for other broker-dealers to participate in sales. Broker-dealers may receive commissions or discounts from the Selling Securityholders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sale of the Ordinary Shares, Private Placement Warrants or interests therein, the Selling Securityholders may enter into hedging transactions with broker-dealers or other financial institutions, which may in turn engage in short sales of the shares in the course of hedging the positions they assume. The Selling Securityholders may also sell Ordinary Shares or Private Placement Warrants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from time to time, pledge or grant a security interest in some of the Ordinary Shares or Private Placement Warrants owned by them and, if a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Securityholders to include the pledgee, transferee, or other successors-in-interest as the Selling Securityholders under this prospectus. The Selling Securityholders also may transfer the Ordinary Shares in other circumstances, in which case the transferees, pledgees, donees or other successors in interest will be the selling beneficial owners for purposes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and any broker-dealers or agents that are involved in selling the Ordinary Shares or Private Placement Warrants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us that it does not have any written or oral agreement or understanding, directly or indirectly, with any person to sell the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facilitate the offering of Ordinary Shares or Private Placement Warrants offered by the Selling Securityholders, certain persons participating in the offering may engage in transactions that stabilize, maintain or otherwise affect the price of our Ordinary Shares or Private Placement Warrants. This may include over-allotments or short sales, which involve the sale by persons participating in the offering of more Ordinary Shares or Private Placement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Ordinary Shares or Private Placement Warrants by bidding for or purchasing Ordinary Shares or Private Placement Warrants in the open market or by imposing penalty bids, whereby selling concessions allowed to dealers participating in the offering may be reclaimed if Ordinary Shares or Private Placement Warrants sold by them are repurchased in connection with stabilization transactions. The effect of these transactions may be to stabilize or maintain the market price of our Ordinary Shares or Private Placement Warrants at a level above that which might otherwise prevail in the open market. These transactions may be discontinued at any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pay certain fees and expenses incurred by us incident to the registration of the Ordinary Shares and Private Placement Warrants. We have agreed to indemnify the Selling Securityholders against certain losses, claims, damages and liabilities, including liabilities under the Securities Act. In addition, we and the Selling Securityholders may agree to indemnify any underwriter, broker-dealer or agent against certain liabilities related to the selling of the securities, including liabilities arising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with each Selling Securityholder to keep the registration statement of which this prospectus constitutes a part effective until the earlier of, among other things, (a) the term specified in relation to the registration rights granted to such Selling Securityholder and (b) the date on which such Selling Securityholder ceases to hold any of the Ordinary Shares or Private Placement Warrants covered by this prospectus. The Ordinary Shares and Private Placement Warrants will be sold only through registered or licensed brokers or dealers if required under applicable state securities laws. In addition, in certain states, the Ordinary Shares and Private Placement Warrants covered hereby may not be sold unless they have been registered or qualified for sale in the applicable state or an exemption from the registration or qualification requirement is available and is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and any other persons participating in the sale of the Ordinary Shares or Private Placement Warrants will be subject to the Exchange Act. The Exchange Act rules include, without limitation, Regulation M, which may limit the timing of purchases and sales of any of the Ordinary Shares or Private Placement Warrants by the Selling Securityholders and any other person. In addition, Regulation M may restrict the ability of any person engaged in the distribution of the Ordinary Shares or Private Placement Warrants to engage in market-making activities with respect to the particular Ordinary Shares or Private Placement Warrants being distributed. This may affect the marketability of the Ordinary Shares or Private Placement Warrants and the ability of any person or entity to engage in market-making activities with respect to the Ordinary Shares or Private Placement Warrants.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Warrants may exercise its Warrants in accordance with the Warrant Agreement, as amended by the Warrant Amendment Agreement, on or before the expiration date set forth therein by surrendering, at the office of the Warrant Agent, Computershare Inc. and Computershare Trust Company, N.A.,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120"/>
      <w:bookmarkEnd w:id="19"/>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securities offered hereby will be passed upon for us by Orrick, Herrington &amp; Sutcliffe LLP.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121"/>
      <w:bookmarkEnd w:id="20"/>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Pasqal SAS and its subsidiaries as of December 31, 2025 and December 31, 2024 and for the years then ended included in this prospectus have been so included in reliance on the report of PricewaterhouseCoopers Audit, an independent registered public accounting firm, given on the authority of said firm as experts in accounting and auditing.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Bleichroeder Acquisition Corp. II at December 31, 2025, and for the period from August 27, 2025 (inception) through December 31, 2025, appearing in this prospectus have been audited by WithumSmith+Brown, PC, an independent registered public accounting firm, as set forth in its report thereon appearing elsewhere herein, and are included in reliance upon such report given on the authority of such firm as an expert in accounting and auditing.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122"/>
      <w:bookmarkEnd w:id="21"/>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filed with the SEC a registration statement on Form F-1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the informational requirements of the Exchange Act applicable to foreign private issuers.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Shares. In addition, we will not be required under the Exchange Act to file periodic reports and financial statements with the SEC as frequently or as promptly as U.S. companies whose securities are registered under the Exchange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123"/>
      <w:bookmarkEnd w:id="22"/>
      <w:r>
        <w:rPr>
          <w:rFonts w:ascii="Times New Roman PS Std;serif" w:hAnsi="Times New Roman PS Std;serif"/>
          <w:b/>
          <w:i w:val="false"/>
          <w:caps w:val="false"/>
          <w:smallCaps w:val="false"/>
          <w:sz w:val="20"/>
        </w:rPr>
        <w:t xml:space="preserve">INDEX TO FINANCIAL STATEMENTS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01">
              <w:r>
                <w:rPr>
                  <w:rStyle w:val="InternetLink"/>
                  <w:rFonts w:ascii="Times New Roman PS Std;serif" w:hAnsi="Times New Roman PS Std;serif"/>
                  <w:b w:val="false"/>
                  <w:i w:val="false"/>
                  <w:caps w:val="false"/>
                  <w:smallCaps w:val="false"/>
                  <w:sz w:val="20"/>
                </w:rPr>
                <w:t xml:space="preserve">Condensed Consolidated Balance Sheets as of June 30, 2026 (Unaudited) and December 31, 2025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02">
              <w:r>
                <w:rPr>
                  <w:rStyle w:val="InternetLink"/>
                  <w:rFonts w:ascii="Times New Roman PS Std;serif" w:hAnsi="Times New Roman PS Std;serif"/>
                  <w:b w:val="false"/>
                  <w:i w:val="false"/>
                  <w:caps w:val="false"/>
                  <w:smallCaps w:val="false"/>
                  <w:sz w:val="20"/>
                </w:rPr>
                <w:t>Condensed Consolidated Statements of Operations for the Three and Six Months Ended June 30, 2026 (Unaudited)</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03">
              <w:r>
                <w:rPr>
                  <w:rStyle w:val="InternetLink"/>
                  <w:rFonts w:ascii="Times New Roman PS Std;serif" w:hAnsi="Times New Roman PS Std;serif"/>
                  <w:b w:val="false"/>
                  <w:i w:val="false"/>
                  <w:caps w:val="false"/>
                  <w:smallCaps w:val="false"/>
                  <w:sz w:val="20"/>
                </w:rPr>
                <w:t>Condensed Consolidated Statement of Changes in Shareholders’ Deficit for the Three and Six Months Ended June 30, 2026 (Unaudited)</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04">
              <w:r>
                <w:rPr>
                  <w:rStyle w:val="InternetLink"/>
                  <w:rFonts w:ascii="Times New Roman PS Std;serif" w:hAnsi="Times New Roman PS Std;serif"/>
                  <w:b w:val="false"/>
                  <w:i w:val="false"/>
                  <w:caps w:val="false"/>
                  <w:smallCaps w:val="false"/>
                  <w:sz w:val="20"/>
                </w:rPr>
                <w:t>Condensed Consolidated Statement of Cash Flows for the Six Months Ended June 30, 2026 (Unaudited)</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05">
              <w:r>
                <w:rPr>
                  <w:rStyle w:val="InternetLink"/>
                  <w:rFonts w:ascii="Times New Roman PS Std;serif" w:hAnsi="Times New Roman PS Std;serif"/>
                  <w:b w:val="false"/>
                  <w:i w:val="false"/>
                  <w:caps w:val="false"/>
                  <w:smallCaps w:val="false"/>
                  <w:sz w:val="20"/>
                </w:rPr>
                <w:t xml:space="preserve">Notes to Condensed Consolidated Financial Statements (Unaudited)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bl>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7006">
              <w:r>
                <w:rPr>
                  <w:rStyle w:val="InternetLink"/>
                  <w:rFonts w:ascii="Times New Roman PS Std;serif" w:hAnsi="Times New Roman PS Std;serif"/>
                  <w:b w:val="false"/>
                  <w:i w:val="false"/>
                  <w:caps w:val="false"/>
                  <w:smallCaps w:val="false"/>
                  <w:sz w:val="20"/>
                </w:rPr>
                <w:t xml:space="preserve">Report of Independent Registered Public Accounting Firm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F-25</w:t>
            </w:r>
          </w:p>
        </w:tc>
      </w:tr>
      <w:tr>
        <w:trPr/>
        <w:tc>
          <w:tcPr>
            <w:tcW w:w="93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07">
              <w:r>
                <w:rPr>
                  <w:rStyle w:val="InternetLink"/>
                  <w:rFonts w:ascii="Times New Roman PS Std;serif" w:hAnsi="Times New Roman PS Std;serif"/>
                  <w:b w:val="false"/>
                  <w:i w:val="false"/>
                  <w:caps w:val="false"/>
                  <w:smallCaps w:val="false"/>
                  <w:sz w:val="20"/>
                </w:rPr>
                <w:t xml:space="preserve">Balance Sheet as of December 31, 2025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08">
              <w:r>
                <w:rPr>
                  <w:rStyle w:val="InternetLink"/>
                  <w:rFonts w:ascii="Times New Roman PS Std;serif" w:hAnsi="Times New Roman PS Std;serif"/>
                  <w:b w:val="false"/>
                  <w:i w:val="false"/>
                  <w:caps w:val="false"/>
                  <w:smallCaps w:val="false"/>
                  <w:sz w:val="20"/>
                </w:rPr>
                <w:t>Statement of Operations for the period from August 27, 2025 (Inception) through December 31, 2025</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F-27</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09">
              <w:r>
                <w:rPr>
                  <w:rStyle w:val="InternetLink"/>
                  <w:rFonts w:ascii="Times New Roman PS Std;serif" w:hAnsi="Times New Roman PS Std;serif"/>
                  <w:b w:val="false"/>
                  <w:i w:val="false"/>
                  <w:caps w:val="false"/>
                  <w:smallCaps w:val="false"/>
                  <w:sz w:val="20"/>
                </w:rPr>
                <w:t>Statement of Changes in Shareholders’ Deficit for the period from August 27, 2025 (Inception) through December 31, 2025</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F-28</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10">
              <w:r>
                <w:rPr>
                  <w:rStyle w:val="InternetLink"/>
                  <w:rFonts w:ascii="Times New Roman PS Std;serif" w:hAnsi="Times New Roman PS Std;serif"/>
                  <w:b w:val="false"/>
                  <w:i w:val="false"/>
                  <w:caps w:val="false"/>
                  <w:smallCaps w:val="false"/>
                  <w:sz w:val="20"/>
                </w:rPr>
                <w:t>Statement of Cash Flows for the period from August 27, 2025 (Inception) through December 31, 2025</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11">
              <w:r>
                <w:rPr>
                  <w:rStyle w:val="InternetLink"/>
                  <w:rFonts w:ascii="Times New Roman PS Std;serif" w:hAnsi="Times New Roman PS Std;serif"/>
                  <w:b w:val="false"/>
                  <w:i w:val="false"/>
                  <w:caps w:val="false"/>
                  <w:smallCaps w:val="false"/>
                  <w:sz w:val="20"/>
                </w:rPr>
                <w:t xml:space="preserve">Notes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F-30</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11101">
              <w:r>
                <w:rPr>
                  <w:rStyle w:val="InternetLink"/>
                  <w:rFonts w:ascii="Times New Roman PS Std;serif" w:hAnsi="Times New Roman PS Std;serif"/>
                  <w:b w:val="false"/>
                  <w:i w:val="false"/>
                  <w:caps w:val="false"/>
                  <w:smallCaps w:val="false"/>
                  <w:sz w:val="20"/>
                </w:rPr>
                <w:t xml:space="preserve">Condensed Consolidated Statements of Financial Position at June 30, 2026 and December 31, 2025 (Unaudited)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11102">
              <w:r>
                <w:rPr>
                  <w:rStyle w:val="InternetLink"/>
                  <w:rFonts w:ascii="Times New Roman PS Std;serif" w:hAnsi="Times New Roman PS Std;serif"/>
                  <w:b w:val="false"/>
                  <w:i w:val="false"/>
                  <w:caps w:val="false"/>
                  <w:smallCaps w:val="false"/>
                  <w:sz w:val="20"/>
                </w:rPr>
                <w:t xml:space="preserve">Condensed Consolidated Statements of Profit or Loss and Other Comprehensive Income for the Six Months Ended June 30, 2026 and 2025 (Unaudited)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F-45</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3">
              <w:r>
                <w:rPr>
                  <w:rStyle w:val="InternetLink"/>
                  <w:rFonts w:ascii="Times New Roman PS Std;serif" w:hAnsi="Times New Roman PS Std;serif"/>
                  <w:b w:val="false"/>
                  <w:i w:val="false"/>
                  <w:caps w:val="false"/>
                  <w:smallCaps w:val="false"/>
                  <w:sz w:val="20"/>
                </w:rPr>
                <w:t>Condensed Consolidated Statements of Changes in Equity at June 30, 2026 and December 31, 2025 (Unaudited)</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F-46</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4">
              <w:r>
                <w:rPr>
                  <w:rStyle w:val="InternetLink"/>
                  <w:rFonts w:ascii="Times New Roman PS Std;serif" w:hAnsi="Times New Roman PS Std;serif"/>
                  <w:b w:val="false"/>
                  <w:i w:val="false"/>
                  <w:caps w:val="false"/>
                  <w:smallCaps w:val="false"/>
                  <w:sz w:val="20"/>
                </w:rPr>
                <w:t>Condensed Consolidated Statements of Cash Flows for the Six Months Ended June 30, 2026 and 2025 (Unaudited)</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F-47</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5">
              <w:r>
                <w:rPr>
                  <w:rStyle w:val="InternetLink"/>
                  <w:rFonts w:ascii="Times New Roman PS Std;serif" w:hAnsi="Times New Roman PS Std;serif"/>
                  <w:b w:val="false"/>
                  <w:i w:val="false"/>
                  <w:caps w:val="false"/>
                  <w:smallCaps w:val="false"/>
                  <w:sz w:val="20"/>
                </w:rPr>
                <w:t xml:space="preserve">Notes to the Condensed Consolidated Financial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F-48</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7012">
              <w:r>
                <w:rPr>
                  <w:rStyle w:val="InternetLink"/>
                  <w:rFonts w:ascii="Times New Roman PS Std;serif" w:hAnsi="Times New Roman PS Std;serif"/>
                  <w:b w:val="false"/>
                  <w:i w:val="false"/>
                  <w:caps w:val="false"/>
                  <w:smallCaps w:val="false"/>
                  <w:sz w:val="20"/>
                </w:rPr>
                <w:t xml:space="preserve">Report of Independent Registered Public Accounting Firm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F-71</w:t>
            </w:r>
          </w:p>
        </w:tc>
      </w:tr>
      <w:tr>
        <w:trPr/>
        <w:tc>
          <w:tcPr>
            <w:tcW w:w="93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13">
              <w:r>
                <w:rPr>
                  <w:rStyle w:val="InternetLink"/>
                  <w:rFonts w:ascii="Times New Roman PS Std;serif" w:hAnsi="Times New Roman PS Std;serif"/>
                  <w:b w:val="false"/>
                  <w:i w:val="false"/>
                  <w:caps w:val="false"/>
                  <w:smallCaps w:val="false"/>
                  <w:sz w:val="20"/>
                </w:rPr>
                <w:t xml:space="preserve">Consolidated Statements of Financial Position as of December 31, 2025 and December 31, 2024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F-72</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14">
              <w:r>
                <w:rPr>
                  <w:rStyle w:val="InternetLink"/>
                  <w:rFonts w:ascii="Times New Roman PS Std;serif" w:hAnsi="Times New Roman PS Std;serif"/>
                  <w:b w:val="false"/>
                  <w:i w:val="false"/>
                  <w:caps w:val="false"/>
                  <w:smallCaps w:val="false"/>
                  <w:sz w:val="20"/>
                </w:rPr>
                <w:t>Consolidated Statements of Profit or Loss and Other Comprehensive Income for the years ended December 31, 2025 and December 31, 2024</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15">
              <w:r>
                <w:rPr>
                  <w:rStyle w:val="InternetLink"/>
                  <w:rFonts w:ascii="Times New Roman PS Std;serif" w:hAnsi="Times New Roman PS Std;serif"/>
                  <w:b w:val="false"/>
                  <w:i w:val="false"/>
                  <w:caps w:val="false"/>
                  <w:smallCaps w:val="false"/>
                  <w:sz w:val="20"/>
                </w:rPr>
                <w:t xml:space="preserve">Consolidated Statements of Changes in Equity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16">
              <w:r>
                <w:rPr>
                  <w:rStyle w:val="InternetLink"/>
                  <w:rFonts w:ascii="Times New Roman PS Std;serif" w:hAnsi="Times New Roman PS Std;serif"/>
                  <w:b w:val="false"/>
                  <w:i w:val="false"/>
                  <w:caps w:val="false"/>
                  <w:smallCaps w:val="false"/>
                  <w:sz w:val="20"/>
                </w:rPr>
                <w:t>Consolidated Statements of Cash Flows for the years ended December 31, 2025 and December 31, 2024</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17">
              <w:r>
                <w:rPr>
                  <w:rStyle w:val="InternetLink"/>
                  <w:rFonts w:ascii="Times New Roman PS Std;serif" w:hAnsi="Times New Roman PS Std;serif"/>
                  <w:b w:val="false"/>
                  <w:i w:val="false"/>
                  <w:caps w:val="false"/>
                  <w:smallCaps w:val="false"/>
                  <w:sz w:val="20"/>
                </w:rPr>
                <w:t xml:space="preserve">Notes to the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7001"/>
      <w:bookmarkEnd w:id="23"/>
      <w:r>
        <w:rPr>
          <w:rFonts w:ascii="Times New Roman PS Std;serif" w:hAnsi="Times New Roman PS Std;serif"/>
          <w:b/>
          <w:i w:val="false"/>
          <w:caps w:val="false"/>
          <w:smallCaps w:val="false"/>
          <w:sz w:val="20"/>
        </w:rPr>
        <w:t xml:space="preserve">BLEICHROEDER ACQUISITION CORP. II </w:t>
        <w:br/>
        <w:t>CONDENSED CONSOLIDATED BALANCE SHEETS</w:t>
      </w:r>
    </w:p>
    <w:tbl>
      <w:tblPr>
        <w:tblW w:w="10205" w:type="dxa"/>
        <w:jc w:val="left"/>
        <w:tblInd w:w="0" w:type="dxa"/>
        <w:tblLayout w:type="fixed"/>
        <w:tblCellMar>
          <w:top w:w="0" w:type="dxa"/>
          <w:left w:w="0" w:type="dxa"/>
          <w:bottom w:w="0" w:type="dxa"/>
          <w:right w:w="0" w:type="dxa"/>
        </w:tblCellMar>
      </w:tblPr>
      <w:tblGrid>
        <w:gridCol w:w="6165"/>
        <w:gridCol w:w="146"/>
        <w:gridCol w:w="301"/>
        <w:gridCol w:w="1531"/>
        <w:gridCol w:w="256"/>
        <w:gridCol w:w="146"/>
        <w:gridCol w:w="302"/>
        <w:gridCol w:w="1055"/>
        <w:gridCol w:w="303"/>
      </w:tblGrid>
      <w:tr>
        <w:trPr/>
        <w:tc>
          <w:tcPr>
            <w:tcW w:w="616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6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1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660" w:type="dxa"/>
            <w:gridSpan w:val="3"/>
            <w:tcBorders/>
            <w:vAlign w:val="bottom"/>
          </w:tcPr>
          <w:p>
            <w:pPr>
              <w:pStyle w:val="TableContents"/>
              <w:bidi w:val="0"/>
              <w:spacing w:before="0" w:after="283"/>
              <w:jc w:val="left"/>
              <w:rPr/>
            </w:pPr>
            <w:r>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866,407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4,503</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prepaid insurance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1,070,820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4,503</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217,025</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prepaid insurance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76,250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292,280,120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293,427,190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221,528</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10,791</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6,153,980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Promissory note –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248,013</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6,228,980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259,104</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18,478,980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259,104</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28,750,000 shares at redemption value of $10.17 and $0 per share at June 30, 2026 and December 31, 2025, respectively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292,280,120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Preference shares, $0.0001 par value; 5,000,000 shares authorized; none issued or outstanding at June 30, 2026 and December 31,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$0.0001 par value; 500,000,000 shares authorized; none issued and outstanding at June 30, 2026 and December 31, 2025 (excluding 28,750,000 shares subject to possible redemption)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$0.0001 par value; 50,000,000 shares authorized; 9,583,333 shares issued and outstanding at June 30, 2026 and December 31,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24,042</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(17,332,868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(17,331,910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(37,576</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Shareholders’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293,427,190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221,528</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7002"/>
      <w:bookmarkEnd w:id="24"/>
      <w:r>
        <w:rPr>
          <w:rFonts w:ascii="Times New Roman PS Std;serif" w:hAnsi="Times New Roman PS Std;serif"/>
          <w:b/>
          <w:i w:val="false"/>
          <w:caps w:val="false"/>
          <w:smallCaps w:val="false"/>
          <w:sz w:val="20"/>
        </w:rPr>
        <w:t xml:space="preserve">BLEICHROEDER ACQUISITION CORP. II </w:t>
        <w:br/>
        <w:t>CONDENSED CONSOLIDATED STATEMENTS OF OPERATIONS</w:t>
        <w:br/>
        <w:t>(UNAUDITED)</w:t>
      </w:r>
    </w:p>
    <w:tbl>
      <w:tblPr>
        <w:tblW w:w="10205" w:type="dxa"/>
        <w:jc w:val="left"/>
        <w:tblInd w:w="0" w:type="dxa"/>
        <w:tblLayout w:type="fixed"/>
        <w:tblCellMar>
          <w:top w:w="0" w:type="dxa"/>
          <w:left w:w="0" w:type="dxa"/>
          <w:bottom w:w="0" w:type="dxa"/>
          <w:right w:w="0" w:type="dxa"/>
        </w:tblCellMar>
      </w:tblPr>
      <w:tblGrid>
        <w:gridCol w:w="6052"/>
        <w:gridCol w:w="146"/>
        <w:gridCol w:w="301"/>
        <w:gridCol w:w="1351"/>
        <w:gridCol w:w="256"/>
        <w:gridCol w:w="146"/>
        <w:gridCol w:w="301"/>
        <w:gridCol w:w="1351"/>
        <w:gridCol w:w="301"/>
      </w:tblGrid>
      <w:tr>
        <w:trPr/>
        <w:tc>
          <w:tcPr>
            <w:tcW w:w="60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June 30,</w:t>
              <w:br/>
              <w:t>2026</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2,265,709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7,173,851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(2,265,709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(7,173,851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earned on marketable securities held in Trust Account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4,780,120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4,780,120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298,688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(2,393,731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Class A ordinary shares, 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27,320,442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net income (loss) per Ordinary Share, Class A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Class B ordinary shares, basic</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9,521,178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net income (loss) per Ordinary Share, Class B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Class B ordinary shares,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Diluted net income (loss) per Ordinary Share, Class B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7003"/>
      <w:bookmarkEnd w:id="25"/>
      <w:r>
        <w:rPr>
          <w:rFonts w:ascii="Times New Roman PS Std;serif" w:hAnsi="Times New Roman PS Std;serif"/>
          <w:b/>
          <w:i w:val="false"/>
          <w:caps w:val="false"/>
          <w:smallCaps w:val="false"/>
          <w:sz w:val="20"/>
        </w:rPr>
        <w:t xml:space="preserve">BLEICHROEDER ACQUISITION CORP. II </w:t>
        <w:br/>
        <w:t>CONDENSED CONSOLIDATED STATEMENT OF CHANGES IN SHAREHOLDERS’ DEFICIT</w:t>
        <w:br/>
        <w:t>FOR THE THREE AND SIX MONTHS ENDED JUNE 30, 2026</w:t>
        <w:br/>
        <w:t>(UNAUDITED)</w:t>
      </w:r>
    </w:p>
    <w:tbl>
      <w:tblPr>
        <w:tblW w:w="13316" w:type="dxa"/>
        <w:jc w:val="left"/>
        <w:tblInd w:w="0" w:type="dxa"/>
        <w:tblLayout w:type="fixed"/>
        <w:tblCellMar>
          <w:top w:w="0" w:type="dxa"/>
          <w:left w:w="0" w:type="dxa"/>
          <w:bottom w:w="0" w:type="dxa"/>
          <w:right w:w="0" w:type="dxa"/>
        </w:tblCellMar>
      </w:tblPr>
      <w:tblGrid>
        <w:gridCol w:w="2216"/>
        <w:gridCol w:w="146"/>
        <w:gridCol w:w="871"/>
        <w:gridCol w:w="146"/>
        <w:gridCol w:w="415"/>
        <w:gridCol w:w="561"/>
        <w:gridCol w:w="146"/>
        <w:gridCol w:w="1261"/>
        <w:gridCol w:w="146"/>
        <w:gridCol w:w="336"/>
        <w:gridCol w:w="640"/>
        <w:gridCol w:w="146"/>
        <w:gridCol w:w="301"/>
        <w:gridCol w:w="1321"/>
        <w:gridCol w:w="241"/>
        <w:gridCol w:w="146"/>
        <w:gridCol w:w="301"/>
        <w:gridCol w:w="1486"/>
        <w:gridCol w:w="256"/>
        <w:gridCol w:w="146"/>
        <w:gridCol w:w="301"/>
        <w:gridCol w:w="1486"/>
        <w:gridCol w:w="301"/>
      </w:tblGrid>
      <w:tr>
        <w:trPr/>
        <w:tc>
          <w:tcPr>
            <w:tcW w:w="22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A </w:t>
              <w:br/>
              <w:t>Ordinary Shares</w:t>
            </w:r>
          </w:p>
        </w:tc>
        <w:tc>
          <w:tcPr>
            <w:tcW w:w="146" w:type="dxa"/>
            <w:tcBorders/>
            <w:vAlign w:val="bottom"/>
          </w:tcPr>
          <w:p>
            <w:pPr>
              <w:pStyle w:val="TableContents"/>
              <w:bidi w:val="0"/>
              <w:spacing w:before="0" w:after="283"/>
              <w:jc w:val="left"/>
              <w:rPr/>
            </w:pPr>
            <w:r>
              <w:rPr/>
              <w:t> </w:t>
            </w:r>
          </w:p>
        </w:tc>
        <w:tc>
          <w:tcPr>
            <w:tcW w:w="238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B </w:t>
              <w:br/>
              <w:t>Ordinary Shares</w:t>
            </w:r>
          </w:p>
        </w:tc>
        <w:tc>
          <w:tcPr>
            <w:tcW w:w="146" w:type="dxa"/>
            <w:tcBorders/>
            <w:vAlign w:val="bottom"/>
          </w:tcPr>
          <w:p>
            <w:pPr>
              <w:pStyle w:val="TableContents"/>
              <w:bidi w:val="0"/>
              <w:spacing w:before="0" w:after="283"/>
              <w:jc w:val="left"/>
              <w:rPr/>
            </w:pPr>
            <w:r>
              <w:rPr/>
              <w:t> </w:t>
            </w:r>
          </w:p>
        </w:tc>
        <w:tc>
          <w:tcPr>
            <w:tcW w:w="186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Capital</w:t>
            </w:r>
          </w:p>
        </w:tc>
        <w:tc>
          <w:tcPr>
            <w:tcW w:w="146" w:type="dxa"/>
            <w:vMerge w:val="restart"/>
            <w:tcBorders/>
            <w:vAlign w:val="bottom"/>
          </w:tcPr>
          <w:p>
            <w:pPr>
              <w:pStyle w:val="TableContents"/>
              <w:bidi w:val="0"/>
              <w:spacing w:before="0" w:after="283"/>
              <w:jc w:val="left"/>
              <w:rPr/>
            </w:pPr>
            <w:r>
              <w:rPr/>
              <w:t> </w:t>
            </w:r>
          </w:p>
        </w:tc>
        <w:tc>
          <w:tcPr>
            <w:tcW w:w="204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208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Shareholders’</w:t>
              <w:br/>
              <w:t>Deficit</w:t>
            </w:r>
          </w:p>
        </w:tc>
      </w:tr>
      <w:tr>
        <w:trPr/>
        <w:tc>
          <w:tcPr>
            <w:tcW w:w="2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86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4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88" w:type="dxa"/>
            <w:gridSpan w:val="3"/>
            <w:vMerge w:val="continue"/>
            <w:tcBorders/>
            <w:vAlign w:val="bottom"/>
          </w:tcPr>
          <w:p>
            <w:pPr>
              <w:pStyle w:val="Normal"/>
              <w:bidi w:val="0"/>
              <w:jc w:val="left"/>
              <w:rPr/>
            </w:pPr>
            <w:r>
              <w:rPr/>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January 1, 2026</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9,583,333</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24,042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(62,576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for Class A ordinary shares to redemption amount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(10,921,599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(12,312,164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(23,233,763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7,750,000 Private Placement Warrants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Public Warrants at issuance</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3,373,333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3,373,333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Allocated value of transaction costs to Class A ordinary shares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(225,776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(225,776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(2,692,419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(2,692,419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March 31, 2026 (unaudited)</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(15,067,159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(15,066,201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for Class A ordinary shares to redemption amount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298,688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298,688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June 30, 2026 (unaudited)</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9,583,333</w:t>
            </w:r>
          </w:p>
        </w:tc>
        <w:tc>
          <w:tcPr>
            <w:tcW w:w="146" w:type="dxa"/>
            <w:tcBorders/>
            <w:shd w:fill="CCEEFF" w:val="clear"/>
            <w:vAlign w:val="bottom"/>
          </w:tcPr>
          <w:p>
            <w:pPr>
              <w:pStyle w:val="TableContents"/>
              <w:bidi w:val="0"/>
              <w:spacing w:before="0" w:after="283"/>
              <w:jc w:val="left"/>
              <w:rPr/>
            </w:pPr>
            <w:r>
              <w:rPr/>
              <w:t> </w:t>
            </w:r>
          </w:p>
        </w:tc>
        <w:tc>
          <w:tcPr>
            <w:tcW w:w="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(17,332,868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(17,331,910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7004"/>
      <w:bookmarkEnd w:id="26"/>
      <w:r>
        <w:rPr>
          <w:rFonts w:ascii="Times New Roman PS Std;serif" w:hAnsi="Times New Roman PS Std;serif"/>
          <w:b/>
          <w:i w:val="false"/>
          <w:caps w:val="false"/>
          <w:smallCaps w:val="false"/>
          <w:sz w:val="20"/>
        </w:rPr>
        <w:t xml:space="preserve">BLEICHROEDER ACQUISITION CORP. II </w:t>
        <w:br/>
        <w:t>CONDENSED CONSOLIDATED STATEMENT OF CASH FLOWS</w:t>
        <w:br/>
        <w:t>FOR THE SIX MONTHS ENDED JUNE 30, 2026</w:t>
        <w:br/>
        <w:t>(UNAUDITED)</w:t>
      </w:r>
    </w:p>
    <w:tbl>
      <w:tblPr>
        <w:tblW w:w="10205" w:type="dxa"/>
        <w:jc w:val="left"/>
        <w:tblInd w:w="0" w:type="dxa"/>
        <w:tblLayout w:type="fixed"/>
        <w:tblCellMar>
          <w:top w:w="0" w:type="dxa"/>
          <w:left w:w="0" w:type="dxa"/>
          <w:bottom w:w="0" w:type="dxa"/>
          <w:right w:w="0" w:type="dxa"/>
        </w:tblCellMar>
      </w:tblPr>
      <w:tblGrid>
        <w:gridCol w:w="7851"/>
        <w:gridCol w:w="146"/>
        <w:gridCol w:w="286"/>
        <w:gridCol w:w="1621"/>
        <w:gridCol w:w="301"/>
      </w:tblGrid>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(2,393,731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earned on investments held in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(4,780,120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(199,910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prepaid insurance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(76,250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6,153,680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(1,296,331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of cash into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(287,500,000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Units, net of underwriting discounts paid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282,500,000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Private Placements Warrants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promissory note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(256,872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(330,390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289,662,738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866,407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 Beginning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 End of period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866,407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included in accrued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75,799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paid by Sponsor through promissory note – related party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 payable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7005"/>
      <w:bookmarkEnd w:id="27"/>
      <w:r>
        <w:rPr>
          <w:rFonts w:ascii="Times New Roman PS Std;serif" w:hAnsi="Times New Roman PS Std;serif"/>
          <w:b/>
          <w:i w:val="false"/>
          <w:caps w:val="false"/>
          <w:smallCaps w:val="false"/>
          <w:sz w:val="20"/>
        </w:rPr>
        <w:t xml:space="preserve">BLEICHROEDER ACQUISITION CORP. II </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DESCRIPTION OF ORGANIZATION,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Acquisition Corp. II (the “Company”) is a blank check company incorporated as a Cayman Islands exempted company on August 27, 2025. The Company was incorporated for the purpose of effecting a merger, amalgamation, share exchange, asset acquisition, share purchase, reorganization or similar business combination with one or more businesses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19, 2026, the Company acquired 100% of the issued and outstanding equity of Bleichroeder Acquisition 2 France, a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xml:space="preserve"> formed under the laws of the Republic of France (“Initial Merger Sub”), resulting in Initial Merger Sub becoming a wholly-owned subsidiary of the Company solely for the purpose of effectuating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May 20, 2026, the Company acquired 99.99998% of Bleichroeder Acquisition France Merger Sub 2,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(“Parent Merger Sub”), with the other 0.00002% owned by Michel Combes. On May 26, 2026, the Company, Initial Merger Sub, Parent Merger Sub, and Pasqal (as defined below) entered into Amendment No. 1 to the Agreement and Plan of Merger and Assignment and Assumption Agreement, pursuant to which Initial Merger Sub assigned to Parent Merger Sub, and Parent Merger Sub assumed, all of Initial Merger Sub’s rights and obligations as “Parent Merger Sub” as defined under the Business Combination Agreement (as defined below), such that Parent Merger Sub was substituted for Initial Merger Sub as a party to, and as “Parent Merger Sub” under, the Business Combination Agreement for all purposes from and after that date. On the same day, the Company disposed of the Initial Merger Sub to its original seller.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26, 2026, the Company disposed of the Initial Merger Sub, and the Initial Merger Sub was no longer a wholly-owned subsidiary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had not yet commenced operations. All activity for the period from August 27, 2025 (inception) through June 30, 2026 relates to the Company’s formation, the Initial Public Offering (the “Initial Public Offering”), and subsequent to the Initial Public Offering, identifying a target company for a Business Combination. The Company will not generate any operating revenues prior to the completion of the Business Combination and generates non-operating income in the form of interest and/or dividend income from the proceeds derived from the Initial Public Offering. The Company has selected December 31 as its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Sponsor is Bleichroeder Sponsor 2 LLC (the “Sponsor”). The registration statement for the Company’s Initial Public Offering was declared effective on January 7, 2026. On January 9, 2026, the Company consummated the Initial Public Offering of 28,750,000 units (the “Units” and, with respect to the Class A ordinary shares included in the Units being offered, the “Public Shares”), which includes the full exercise by the underwriters of their over-allotment option of 3,750,000 Units, at $10.00 per Unit, generating gross proceeds of $287,500,000. Each Unit consists of one Class A ordinary share and one-third of one redeemable warrant (each “Public Warrant” and collectively, the “Public Warrants”). Each whole Public Warrant entitles the holder thereof to purchase one Class A ordinary share at a price of $11.50 per share, subject to 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(each a “Private Placement Warrant”) at a price of $1.00 per Private Placement Warrant, generating gross proceeds of $7,750,000. Of those 7,750,000 Private Placement Warrants, the Sponsor purchased 5,000,000 Private Placement Warrants, and the underwriters, Cohen &amp; Company Capital Markets (“CCM”) and Clear Street LLC (“CS”), purchased 2,750,000 Private Placement Warrants (or 2,612,500 and 137,500 Private Placement Warrants,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amounted to $17,870,483, consisting of $5,000,000 of cash underwriting fee, $12,250,000 of deferred underwriting fee, and $620,483 of other offering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must be with one or more target businesses that together have a fair market value equal to at least 80% of the value of the assets held in the Trust Account (as defined below) (excluding the amount of deferred underwriting discounts held and taxes payable on the interest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Initial Public Offering, on January 9, 2026, an amount of $287,500,000 ($10.00 per Unit) from the net proceeds of the sale of the Units and the Private Placement Warrants was placed in the trust account (the “Trust Account”), with U.S.-based trust account, Continental Stock Transfer &amp; Trust Company, acting as trustee, which will initially be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might be deemed to be an investment company for purposes of the Investment Company Act, which risk increases the longer that the Company holds investments in the Trust Account, the Company may, at any time (based on management team’s ongoing assessment of all factors related to the potential status under the Investment Company Act), instruct the trustee to liquidate the investments held in the Trust Account and instead to hold the funds in the Trust Account in cash or in an interest bearing demand deposit account at a bank. Except with respect to interest earned on the funds held in the Trust Account that may be released to the Company to pay its taxes, if any, the proceeds from the Initial Public Offering and the sale of the Private Placement Warrants will not be released from the Trust Account until the earliest of (i) the completion of the Company’s initial Business Combination, (ii) the redemption of the Company’s Public Shares if the Company is unable to complete the initial Business Combination within 24 months from the closing of the Initial Public Offering or by such earlier liquidation date as the board of directors may approve (the “Completion Window”), subject to applicable law, or (iii) the redemption of the Company’s Public Shares properly submitted in connection with a shareholder vote to amend the Company’s Amended and Restated Memorandum and Articles of Association to (A) modify the substance or timing of the Company’s obligation to allow redemption in connection with the initial Business Combination or to redeem 100% of the Company’s Public Shares if the Company has not consummated an initial Business Combination within the Completion Window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provide the Company’s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Shareholders will be entitled to redeem their shares at a per-share price, payable in cash, equal to the aggregate amount then on deposit in the Trust Account calculated as of two business days prior to the consummation of the initial Business Combination, including interest earned on the funds held in the Trust Account (less taxes payable), divided by the number of then outstanding Public Shares, subject to the limitations. The amount in the Trust Account is initially anticipated to be $10.00 per Public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Shares will be recorded at a redemption value and classified as temporary equity upon the completion of the Initial Public Offering, in accordance with Financial Accounting Standards Board (“FASB”) Accounting Standards Codification (“ASC”) Topic 480, “Distinguishing Liabilities from Equity.”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have only the duration of the Completion Window to complete the initial Business Combination. However, if the Company is unable to complete its initial Business Combination within the Completion Window, the Company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constitute full and complete payment for the Public Shares and completely extinguish Public Shareholders’ rights as shareholders (including the right to receive further liquidation or other distributions, if any), subject to the Company’s obligations under Cayman Islands law to provide for claims of creditors and subject to the other requirements of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officers and directors have entered into a letter agreement with the Company, pursuant to which they have agreed to (i) waive their redemption rights with respect to their founder shares and Public Shares in connection with the completion of the initial Business Combination or an earlier redemption in connection with the commencement of the procedures to consummate the initial Business Combination if the Company determines it is desirable to facilitate the completion of the initial Business Combination; (ii) waive their redemption rights with respect to their founder shares and Public Shares in connection with a shareholder vote to approve an amendment to the Company’s Amended and Restated Memorandum and Articles of Association;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privately-negotiated transactions) in favor of the initial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income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(the “Signing Date”), the Company entered into an Agreement and Plan of Merger (as amended by Amendment No. 1, Amendment No. 2 and Amendment No. 3, each as defined below, and may be further amended, supplemented or otherwise modified from time to time in accordance with its terms the “Business Combination Agreement”), by and among the Company, Bleichroeder Acquisition 2 France, a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formed under the laws of the Republic of France and, at signing, a wholly owned subsidiary of the Company (“Initial Merger Sub”), and Pasqal Holding SAS, a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xml:space="preserve"> formed under the laws of the Republic of France (“Pasqal”). On May 26, 2026, the Company, Initial Merger Sub, Bleichroeder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Acquisition France Merger Sub 2,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(“Parent Merger Sub”), and Pasqal entered into Amendment No. 1 to the Agreement and Plan of Merger and Assignment and Assumption Agreement (“Amendment No. 1”), pursuant to which Initial Merger Sub assigned to Parent Merger Sub, and Parent Merger Sub assumed, all of Initial Merger Sub’s rights and obligations under the Business Combination Agreement, and Parent Merger Sub was substituted for Initial Merger Sub as a party to, and as “Parent Merger Sub” under, the Business Combination Agreement for all purposes from and after that date. On June 25, 2026, the Company, Parent Merger Sub and Pasqal entered into Amendment No. 2 to the Agreement and Plan of Merger (“Amendment No. 2”). On July 22, 2026, the Company, Parent Merger Sub and Pasqal entered into Amendment No. 3 to the Agreement and Plan of Merger (“Amendment No. 3”). Pursuant to the Business Combination Agreement, among other things and subject to the terms and conditions therein, (i) the Company will merge with and into Parent Merger Sub (the “Reincorporation Merger”), with Parent Merger Sub being the surviving entity of the Reincorporation Merger (“Parent Surviving Corporation”), and (ii) as promptly as practicable after the effective time of the Reincorporation Merger (the “Reincorporation Merger Effective Time”), Pasqal will merge with and into the Parent Surviving Corporation by way of a merger by absorption (</w:t>
      </w:r>
      <w:r>
        <w:rPr>
          <w:rFonts w:ascii="Times New Roman PS Std;serif" w:hAnsi="Times New Roman PS Std;serif"/>
          <w:b w:val="false"/>
          <w:i/>
          <w:caps w:val="false"/>
          <w:smallCaps w:val="false"/>
          <w:sz w:val="20"/>
        </w:rPr>
        <w:t>fusion-absorption</w:t>
      </w:r>
      <w:r>
        <w:rPr>
          <w:rFonts w:ascii="Times New Roman PS Std;serif" w:hAnsi="Times New Roman PS Std;serif"/>
          <w:b w:val="false"/>
          <w:i w:val="false"/>
          <w:caps w:val="false"/>
          <w:smallCaps w:val="false"/>
          <w:sz w:val="20"/>
        </w:rPr>
        <w:t>) in accordance with the applicable provisions of the French Commercial Code (</w:t>
      </w:r>
      <w:r>
        <w:rPr>
          <w:rFonts w:ascii="Times New Roman PS Std;serif" w:hAnsi="Times New Roman PS Std;serif"/>
          <w:b w:val="false"/>
          <w:i/>
          <w:caps w:val="false"/>
          <w:smallCaps w:val="false"/>
          <w:sz w:val="20"/>
        </w:rPr>
        <w:t>Code de commerce</w:t>
      </w:r>
      <w:r>
        <w:rPr>
          <w:rFonts w:ascii="Times New Roman PS Std;serif" w:hAnsi="Times New Roman PS Std;serif"/>
          <w:b w:val="false"/>
          <w:i w:val="false"/>
          <w:caps w:val="false"/>
          <w:smallCaps w:val="false"/>
          <w:sz w:val="20"/>
        </w:rPr>
        <w:t>), including Articles L. 236-1 et seq (the “Merger”, and together with the Reincorporation Merger, the “Mergers”), with Parent Surviving Corporation being the surviving entity of the Merger and changing its name to “Pasqal Holding SA” or such other name selected by Pasqal (“New Pasqal”).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unaudited condensed consolidated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should be read in conjunction with the Company’s Annual Report on Form 10-K for the year ended December 31, 2025, as filed with the SEC on March 16, 2026. The interim results for the three and six months ended June 30, 2026 are not necessarily indicative of the results to be expected for the year ending December 31, 2026 or for any future periods.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Capital Resources and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liquidity needs up to January 9, 2026 had been satisfied through the loan under an unsecured promissory note from the Sponsor of up to $500,000 (Note 5). As of June 30, 2026, the Company had $866,407 of cash and had a working capital deficit of $5,158,160.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Company’s assessment of going concern considerations in accordance with ASC 205-40, “Presentation of Financial Statements--Going Concern,” as of this filing, the Company may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liquidity condition raises substantial doubt about the Company’s ability to continue as a going concern. Management plans to address this uncertainty through a Business Combination. However, there can be no assurance that the Company will be able to consummate any Business Combination by the end of the Completion Window.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Principles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Bleichroeder Acquisition 2 France was incorporated as a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xml:space="preserve"> under the laws of the Republic of France on March 15, 2022. On February 19, 2026, the Company purchased 100% of the issued and outstanding equity of Bleichroeder Acquisition 2 France (“Initial Merger Sub”), resulting in Initial Merger Sub becoming a wholly-owned subsidiary of the Company solely for the purpose of effectuating the Business Combination. Bleichroeder Acquisition France Merger Sub 2 (“Parent Merger Sub”) was incorporated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on May 19, 2026, solely for the purpose of effectuating the business combination. On May 26, 2026, in connection with Amendment No. 1 to the Business Combination Agreement, Initial Merger Sub assigned to Parent Merger Sub, and Parent Merger Sub assumed all of Initial Merger Sub’s rights and obligations as “Parent Merger Sub” under the Business Combination Agreement, such that Parent Merger Sub was substituted for Initial Merger Sub for all purposes from and after that date. On the same day, the Company disposed of the Initial Merger Sub.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Parent Merger Sub’s issued and outstanding share capital consisted of 500,000 ordinary shares, of which 499,999 shares were held by Bleichroeder and one(1) share was held by Michel Combes. Parent Merger Sub does not own any material assets or conduct any business activities other than activities incidental to effectuating the Business Combination. The address and telephone number for Parent Merger Sub’s principal executive officers are the same as those for Bleichroeder.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include the accounts of the Company and its wholly owned subsidiary. All significant intercompany balances and transactions have been eliminated in consolidation.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unaudited condensed consolidated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Actual results could differ from those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unaudited condensed consolidated financial statements, which management considered in formulating its estimate, could change in the near term due to one or more future confirming events. Accordingly, the actual results could differ significantly from those estimates.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short-term investments with an original maturity of three months or less when purchased to be cash equivalents. The Company had $866,407 of cash and did not have any cash equivalents as of June 30, 2026. The Company did not have any cash or cash equivalents, as of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Investments Held in Trust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assets held in the Trust Account amounting to $292,280,120, were held in mutual funds composed of U.S. treasury securities. As of December 31, 2025, the Company did not have any assets in the Trust Account.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 of 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Offering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the requirements of the ASC 340-10-S99 and SEC Staff Accounting Bulletin Topic 5A, “Expenses of Offering.” Offering costs consist principally of professional and registration fees that are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Public Warrants, using the residual method by allocating Initial Public Offering proceeds first to assigned value of the Public Warrants and then to the Class A ordinary shares. Offering costs allocated to the Public Shares were charged to temporary equity and offering costs allocated to the Public Warrants and Private Placement Warrants were charged to shareholders’ deficit as the Public Warrants and Private Placement Warrants, after management’s evaluation, were accounted for under equity treatment.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under FASB ASC Topic 740, “Income Taxes,” which requires an asset and liability approach to financial accounting and reporting for income taxes. Deferred income tax assets and liabilities are computed for differences between the unaudited condensed consolidated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Topic 740 prescribes a recognition threshold and a measurement attribute for the unaudited condensed consolidated financial statements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June 30, 2026 and December 31, 2025, there were no unrecognized tax benefits and no amounts accrued for interest and penalties. The Company is currently not aware of any issues under review that could result in significant payments, accruals or material deviation from its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the Public and Private Placement Warrants to be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Payment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share awards in accordance with FASB ASC 718, “Compensation — Stock Compensation” (“FASB ASC 718”), which requires that all equity awards be accounted for at their “fair value.” Fair value is measured on the grant date and is equal to the underlying value of the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equal to these fair values are recognized ratably over the requisite service period based on the number of awards that are expected to vest, in the period of grant for awards that vest immediately and have no future service condition, or in the period the awards vest immediately after meeting a performance condition becomes probable (i.e., the occurrence of a Business Combination). For awards that vest over time, cumulative adjustments in later periods are recorded to the extent actual forfeitures differ from the Company’s initial estimates; previously recognized compensation cost is reversed if the service or performance conditions are not satisfied and the award is forfeited.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A Ordinary Shares Subject to Possible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deficit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of the Initial Public Offering, the Company recognized the accretion from initial book value to redemption value. The change in the carrying value of redeemable shares will result in charges against additional paid-in capital (to the extent available) and accumulated deficit. Accordingly, as of June 30, 2026, Class A ordinary shares subject to possible redemption are presented at redemption value as temporary equity, outside of the shareholders’ deficit section of the Company’s consolidated balance sheets.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Class A ordinary shares subject to possible redemption reflected in the consolidated balance sheets are reconciled in the following table:</w:t>
      </w:r>
    </w:p>
    <w:tbl>
      <w:tblPr>
        <w:tblW w:w="9360" w:type="dxa"/>
        <w:jc w:val="left"/>
        <w:tblInd w:w="0" w:type="dxa"/>
        <w:tblLayout w:type="fixed"/>
        <w:tblCellMar>
          <w:top w:w="0" w:type="dxa"/>
          <w:left w:w="0" w:type="dxa"/>
          <w:bottom w:w="0" w:type="dxa"/>
          <w:right w:w="0" w:type="dxa"/>
        </w:tblCellMar>
      </w:tblPr>
      <w:tblGrid>
        <w:gridCol w:w="7096"/>
        <w:gridCol w:w="146"/>
        <w:gridCol w:w="301"/>
        <w:gridCol w:w="1531"/>
        <w:gridCol w:w="286"/>
      </w:tblGrid>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proceeds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allocated to Public Warrants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(3,373,333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issuance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(17,644,707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carrying value to redemption value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23,233,763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March 31, 2026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289,715,723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carrying value to redemption value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June 30, 2026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292,280,120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Income (Loss) per Ordinary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accounting and disclosure requirements of FASB ASC Topic 260, “Earnings Per Share”. Net income (loss) per ordinary share is computed by dividing net income (loss) by the weighted average number of ordinary shares outstanding for the period. Accretion associated with the redeemable shares of Class A ordinary shares is excluded from income (loss) per ordinary share as the redemption value approximates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 of diluted net income (loss) per ordinary share does not consider the effect of the Public Warrants and the Private Warrants in the calculation of diluted net income (loss) per ordinary share, because in the calculation of diluted net income (loss) per ordinary share, their exercise is contingent upon future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calculation of basic and diluted net income (loss) per ordinary share (in dollars, except per-share amounts):</w:t>
      </w:r>
    </w:p>
    <w:tbl>
      <w:tblPr>
        <w:tblW w:w="10205" w:type="dxa"/>
        <w:jc w:val="left"/>
        <w:tblInd w:w="0" w:type="dxa"/>
        <w:tblLayout w:type="fixed"/>
        <w:tblCellMar>
          <w:top w:w="0" w:type="dxa"/>
          <w:left w:w="0" w:type="dxa"/>
          <w:bottom w:w="0" w:type="dxa"/>
          <w:right w:w="0" w:type="dxa"/>
        </w:tblCellMar>
      </w:tblPr>
      <w:tblGrid>
        <w:gridCol w:w="3178"/>
        <w:gridCol w:w="146"/>
        <w:gridCol w:w="288"/>
        <w:gridCol w:w="1257"/>
        <w:gridCol w:w="147"/>
        <w:gridCol w:w="288"/>
        <w:gridCol w:w="1135"/>
        <w:gridCol w:w="146"/>
        <w:gridCol w:w="286"/>
        <w:gridCol w:w="1246"/>
        <w:gridCol w:w="241"/>
        <w:gridCol w:w="146"/>
        <w:gridCol w:w="286"/>
        <w:gridCol w:w="1126"/>
        <w:gridCol w:w="289"/>
      </w:tblGrid>
      <w:tr>
        <w:trPr/>
        <w:tc>
          <w:tcPr>
            <w:tcW w:w="317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1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Three Months Ended </w:t>
              <w:br/>
              <w:t>June 30, 2026</w:t>
            </w:r>
          </w:p>
        </w:tc>
        <w:tc>
          <w:tcPr>
            <w:tcW w:w="146" w:type="dxa"/>
            <w:tcBorders/>
            <w:vAlign w:val="bottom"/>
          </w:tcPr>
          <w:p>
            <w:pPr>
              <w:pStyle w:val="TableContents"/>
              <w:bidi w:val="0"/>
              <w:spacing w:before="0" w:after="283"/>
              <w:jc w:val="left"/>
              <w:rPr/>
            </w:pPr>
            <w:r>
              <w:rPr/>
              <w:t> </w:t>
            </w:r>
          </w:p>
        </w:tc>
        <w:tc>
          <w:tcPr>
            <w:tcW w:w="3620"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 2026</w:t>
            </w:r>
          </w:p>
        </w:tc>
      </w:tr>
      <w:tr>
        <w:trPr/>
        <w:tc>
          <w:tcPr>
            <w:tcW w:w="317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7"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6" w:type="dxa"/>
            <w:tcBorders/>
            <w:vAlign w:val="bottom"/>
          </w:tcPr>
          <w:p>
            <w:pPr>
              <w:pStyle w:val="TableContents"/>
              <w:bidi w:val="0"/>
              <w:spacing w:before="0" w:after="283"/>
              <w:jc w:val="left"/>
              <w:rPr/>
            </w:pPr>
            <w:r>
              <w:rPr/>
              <w:t> </w:t>
            </w:r>
          </w:p>
        </w:tc>
        <w:tc>
          <w:tcPr>
            <w:tcW w:w="170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r>
      <w:tr>
        <w:trPr/>
        <w:tc>
          <w:tcPr>
            <w:tcW w:w="3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ordinary share</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income (loss)</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224,016</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74,672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(1,775,106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(618,625</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7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weighted average shares outstanding</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27,320,442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9,521,178</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ordinary share</w:t>
            </w:r>
          </w:p>
        </w:tc>
        <w:tc>
          <w:tcPr>
            <w:tcW w:w="146" w:type="dxa"/>
            <w:tcBorders/>
            <w:shd w:fill="CCEEFF" w:val="clear"/>
            <w:vAlign w:val="bottom"/>
          </w:tcPr>
          <w:p>
            <w:pPr>
              <w:pStyle w:val="TableContents"/>
              <w:bidi w:val="0"/>
              <w:spacing w:before="0" w:after="283"/>
              <w:jc w:val="left"/>
              <w:rPr/>
            </w:pPr>
            <w:r>
              <w:rPr/>
              <w:t> </w:t>
            </w:r>
          </w:p>
        </w:tc>
        <w:tc>
          <w:tcPr>
            <w:tcW w:w="2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7" w:type="dxa"/>
            <w:tcBorders/>
            <w:shd w:fill="CCEEFF" w:val="clear"/>
            <w:vAlign w:val="bottom"/>
          </w:tcPr>
          <w:p>
            <w:pPr>
              <w:pStyle w:val="TableContents"/>
              <w:bidi w:val="0"/>
              <w:spacing w:before="0" w:after="283"/>
              <w:jc w:val="left"/>
              <w:rPr/>
            </w:pPr>
            <w:r>
              <w:rPr/>
              <w:t> </w:t>
            </w:r>
          </w:p>
        </w:tc>
        <w:tc>
          <w:tcPr>
            <w:tcW w:w="2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3180"/>
        <w:gridCol w:w="146"/>
        <w:gridCol w:w="288"/>
        <w:gridCol w:w="1256"/>
        <w:gridCol w:w="147"/>
        <w:gridCol w:w="288"/>
        <w:gridCol w:w="1135"/>
        <w:gridCol w:w="146"/>
        <w:gridCol w:w="286"/>
        <w:gridCol w:w="1246"/>
        <w:gridCol w:w="241"/>
        <w:gridCol w:w="146"/>
        <w:gridCol w:w="286"/>
        <w:gridCol w:w="1126"/>
        <w:gridCol w:w="288"/>
      </w:tblGrid>
      <w:tr>
        <w:trPr/>
        <w:tc>
          <w:tcPr>
            <w:tcW w:w="318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1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Three Months Ended </w:t>
              <w:br/>
              <w:t>June 30, 2026</w:t>
            </w:r>
          </w:p>
        </w:tc>
        <w:tc>
          <w:tcPr>
            <w:tcW w:w="146" w:type="dxa"/>
            <w:tcBorders/>
            <w:vAlign w:val="bottom"/>
          </w:tcPr>
          <w:p>
            <w:pPr>
              <w:pStyle w:val="TableContents"/>
              <w:bidi w:val="0"/>
              <w:spacing w:before="0" w:after="283"/>
              <w:jc w:val="left"/>
              <w:rPr/>
            </w:pPr>
            <w:r>
              <w:rPr/>
              <w:t> </w:t>
            </w:r>
          </w:p>
        </w:tc>
        <w:tc>
          <w:tcPr>
            <w:tcW w:w="3619"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 2026</w:t>
            </w:r>
          </w:p>
        </w:tc>
      </w:tr>
      <w:tr>
        <w:trPr/>
        <w:tc>
          <w:tcPr>
            <w:tcW w:w="31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7"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6" w:type="dxa"/>
            <w:tcBorders/>
            <w:vAlign w:val="bottom"/>
          </w:tcPr>
          <w:p>
            <w:pPr>
              <w:pStyle w:val="TableContents"/>
              <w:bidi w:val="0"/>
              <w:spacing w:before="0" w:after="283"/>
              <w:jc w:val="left"/>
              <w:rPr/>
            </w:pPr>
            <w:r>
              <w:rPr/>
              <w:t> </w:t>
            </w:r>
          </w:p>
        </w:tc>
        <w:tc>
          <w:tcPr>
            <w:tcW w:w="170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r>
      <w:tr>
        <w:trPr/>
        <w:tc>
          <w:tcPr>
            <w:tcW w:w="31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income (loss) per ordinary share</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income (loss)</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224,016</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74,672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(1,772,116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(621,614</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weighted average shares outstanding</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27,320,442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income (loss) per ordinary share</w:t>
            </w:r>
          </w:p>
        </w:tc>
        <w:tc>
          <w:tcPr>
            <w:tcW w:w="146" w:type="dxa"/>
            <w:tcBorders/>
            <w:shd w:fill="CCEEFF" w:val="clear"/>
            <w:vAlign w:val="bottom"/>
          </w:tcPr>
          <w:p>
            <w:pPr>
              <w:pStyle w:val="TableContents"/>
              <w:bidi w:val="0"/>
              <w:spacing w:before="0" w:after="283"/>
              <w:jc w:val="left"/>
              <w:rPr/>
            </w:pPr>
            <w:r>
              <w:rPr/>
              <w:t> </w:t>
            </w:r>
          </w:p>
        </w:tc>
        <w:tc>
          <w:tcPr>
            <w:tcW w:w="2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7" w:type="dxa"/>
            <w:tcBorders/>
            <w:shd w:fill="CCEEFF" w:val="clear"/>
            <w:vAlign w:val="bottom"/>
          </w:tcPr>
          <w:p>
            <w:pPr>
              <w:pStyle w:val="TableContents"/>
              <w:bidi w:val="0"/>
              <w:spacing w:before="0" w:after="283"/>
              <w:jc w:val="left"/>
              <w:rPr/>
            </w:pPr>
            <w:r>
              <w:rPr/>
              <w:t> </w:t>
            </w:r>
          </w:p>
        </w:tc>
        <w:tc>
          <w:tcPr>
            <w:tcW w:w="2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does not believe that any recently issued, but not effective, accounting standards, if currently adopted, would have a material effect on the Company’s unaudited condensed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Initial Public Offering on January 9, 2026, the Company sold 28,750,000 Units, which includes the full exercise by the underwriters of their over-allotment option in the amount of 3,750,000 Units at a purchase price of $10.00 per Unit. Each Unit consists of one Class A ordinary share, and one-third of one redeemable warrant. Each whole warrant entitles the holder to purchase one Class A ordinary share at a price of $11.50 per share, subject to adjustment. Each warrant will become exercisable 30 days after the completion of the initial Business Combination and will expire five years after the completion of the initial Business Combination,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Warrants — </w:t>
      </w:r>
      <w:r>
        <w:rPr>
          <w:rFonts w:ascii="Times New Roman PS Std;serif" w:hAnsi="Times New Roman PS Std;serif"/>
          <w:b w:val="false"/>
          <w:i w:val="false"/>
          <w:caps w:val="false"/>
          <w:smallCaps w:val="false"/>
          <w:sz w:val="20"/>
        </w:rPr>
        <w:t>As of June 30, 2026, there were 17,333,333 Warrants outstanding, including 9,583,333 Public Warrants and 7,750,000 Private Placement Warrants.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terms of the warrant agreement, the Company has agreed that, as soon as practicable, but in no event later than 20 business days, after the closing of its Business Combination, it will use its commercially reasonable efforts to file with the SEC a post-effective amendment to the registration statement for the Initial Public Offering or a new registration statement covering the registration under the Securities Act of the Class A ordinary shares issuable upon exercise of the warrants and thereafter will use its commercially reasonable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INITIAL PUBLIC OFFERING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efforts to cause the same to become effective within 60 business days following the Company’s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shares under applicable blue sky laws to the extent an exemption is not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holders exercise their Public Warrants on a cashless basis, they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over the exercise price of the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of Warrants When the Price per Class A Ordinary Share Equals or Exceeds $18.00</w:t>
      </w:r>
      <w:r>
        <w:rPr>
          <w:rFonts w:ascii="Times New Roman PS Std;serif" w:hAnsi="Times New Roman PS Std;serif"/>
          <w:b w:val="false"/>
          <w:i w:val="false"/>
          <w:caps w:val="false"/>
          <w:smallCaps w:val="false"/>
          <w:sz w:val="20"/>
        </w:rPr>
        <w:t>:    The Company may redeem the outstanding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warrant;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a minimum of 30 days’ prior written notice of redemption (the “30-day redemption period”);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last reported sale price (the “closing price”) of the Class A ordinary shares equals or exceeds $18.00 per share (as adjusted for adjustments to the number of shares issuable upon exercise or the exercise price of a warrant) for any 20 trading days within a 30-trading day period commencing at least 30 days after completion of the initial Business Combination and ending on the third trading day prior to the date on which the Company sends the notice of redemption to the warrant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INITIAL PUBLIC OFFERING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(each “Private Placement Warrant”, collectively the “Private Placement Warrants”) at a price of $1.00 per Private Placement Warrant, generating gross proceeds of $7,750,000. Of those 7,750,000 Private Placement Warrants, the Sponsor purchased 5,000,000 Private Placement Warrants, and the underwriters, CCM and CS, purchased 2,750,000 Private Placement Warrants, (or 2,612,500 and 137,500 private placement warrants,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Private Placement Warrants are identical to the Public Warrants sold in the Initial Public Offering except that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(ii) will be entitled to registration rights and (iii) with respect to Private Placement Warrants held by the underwriters and/or their designees, will not be exercisable more than five years from the commencement of sales in this offering in accordance with Financial Industry Regulatory Authority (“FINRA”) Rule 5110(g)(8).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RELATED PARTY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22, 2025, the Sponsor made a capital contribution of $25,000, or approximately $0.003 per share, through payments of offering costs and expenses on the Company’s behalf, for which the Company issued 9,583,333 Class B ordinary shares, known as founder shares, to the Sponsor. Up to 1,250,000 of the founder shares may be surrendered by the Sponsor for no consideration depending on the extent to which the underwriters’ over-allotment is exercised. On January 9, 2026, the underwriters exercised their over-allotment option in full as part of the closing of the Initial Public Offering. As such, the 1,250,000 Founder Shares are no longer subject to forfeiture.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founder shares are designated as Class B ordinary shares and, except as described below, are identical to the Class A ordinary shares included in the Units sold in the Initial Public Offering, and holders of founder shares have the same shareholder rights as Public Shareholders, except that (i) the founder shares are subject to certain transfer restrictions, as described in more detail below, (ii) the founder shares are entitled to registration rights; (iii) the Sponsor and the Company’s officers and directors have entered into a letter agreement, pursuant to which they have agreed to (A) waive their redemption rights with respect to their founder shares and Public Shares in connection with the completion of the initial Business Combination, (B) waive their redemption rights with respect to their founder shares and Public Shares in connection with a shareholder vote to approve an amendment to the Amended and Restated Memorandum and Articles of Association prior to the consummation of the initial Business Combination (A) to modify the substance or timing of the obligation to allow redemption in connection with the initial Business Combination or to redeem 100% of the Public Shares if the Company has not consummated an initial Business Combination within the Completion Window or (B) with respect to any other material provisions relating to shareholders’ rights or pre-initial business combination activity, (C)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such time period and to liquidating distributions from assets outside the Trust Account and (D) vote any founder shares held by them and any Public Shares purchased during or after the Initial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(including in open market and privately negotiated transactions, aside from shares they may purchase in compliance with the requirements of Rule 14e-5 under the Exchange Act, which would not be voted in favor of approving the Business Combination transaction) in favor of the initial Business Combination, (iv) the founder shares are automatically convertible into Class A ordinary shares in connection with the consummation of the initial Business Combination or earlier at the option of the holder on a one-for-one basis, subject to adjustment as described herein and in the Company Amended and Restated Memorandum and Articles of Association, and (v) prior to, or in connection with, the closing of the initial Business Combination, only holders of the Class B ordinary shares will be entitled to vote on the appointment and removal of directors or continuing the Company in a jurisdiction outside the Cayman Islands (including any special resolution required to amend constitutional documents or to adopt new constitutional documents, in each case, as a result of the approving a transfer by way of continuation in a jurisdiction outside the Cayman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18, 2025, the Sponsor granted membership interests which equate to an aggregate of 300,000 founder shares to the Chief Operating Officer and membership interests which equate to 200,000 founder shares to the Chief Financial Officer. Also, On November 24, 2025, the Sponsor granted membership interests of an aggregate of 30,000 founder shares to the two independent directors (15,000 each). All membership interests were granted in exchange for their services as director and officers through the Company’s initial Business Combination. The membership interests shall return to the Sponsor if the director is no longer serving the Company on or prior to the initial Business Combination. The granting of the membership interests equating to founder shares to the two independent directors, to the Chief Operating Officer, and to the Chief Financial Officer is in the scope of FASB ASC Topic 718, “Compensation-Stock Compensation” (“ASC 718”). Under ASC 718, stock-based compensation associated with equity classified awards is measured at fair value upon the assignment date. The total fair value of the 30,000 membership interests issued to the two directors and 500,000 membership interests issued to the Chief Operating Officer and Chief Financial Officer on November 18, 2025 and November 24, 2025, was $1,562,530 or $2.948 and $2.951, respectively, per share. The Company established the initial fair value of the founder shares on November 18, 2025 and November 24, 2025, using a calculation prepared by a third party valuation team which takes into consideration the implied share price of $9.88 on both dates, risk-free rate of 3.94% and 3.95%, respectively, and remaining term of 0.14 and 0.12 years, respectively. The membership interests were assigned subject to performance conditions (i.e., providing services through Business Combination). Stock-based compensation would be recognized at the date a Business Combination is considered probable (i.e., upon consummation of a Business Combination) in an amount equal to the number of founder shares that ultimately vest times the assignment date fair value per share (unless subsequently modified) less the amount initially received for the transfer of founder shares. As of June 30, 2026, the Company determined that the initial Business Combination is not considered probable and therefore no compensation expense has been recognized.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6, 2026, the Sponsor issued 15,000 Class A Units to an individual. The units represent an indirect interest in 15,000 Founder Shares. The fair value of the shares as of February 6, 2026, was determined to be $3.77 per share for an aggregate amount of $56,550. The transfer was made in accordance with the terms of the Company’s operating agreement. The transfer of these shares is contingent on the completion of a business combination. The expense will be recorded when the contingent event of a business combination becomes probable. As of June 30, 2026, the closing of the business combination was not considered to be probable.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2026, the Sponsor issued 15,000 Class A Units to an individual. The units represent an indirect interest in 15,000 Founder Shares. The fair value of the shares as of April 1, 2026, was determined to be $9.95 per share for an aggregate amount of $149,250. The transfer was made in accordance with the terms of the Company’s operating agreement. The transfer of these shares is contingent on the completion of a business combination. The expense will be recorded when the contingent event of a business combination becomes probable. As of June 30, 2026, the closing of the business combination was not considered to be probable.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Promissory Note — Related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to loan the Company an aggregate of up to $500,000 to be used for a portion of the expenses of the Initial Public Offering. The loan is non-interest bearing, unsecured and due at the earlier of June 30, 2026 or the closing of the Initial Public Offering. As of June 30, 2026 and December 31, 2025, the Company borrowed a total of $0 and $248,013 under the promissory note. At the closing of the Initial Public Offering, on January 9, 2026, the Company paid the outstanding borrowings in full and borrowings under the promissory note are no longer available.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Service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agreed, upon the completion of the Initial Public Offering, to pay an affiliate of the Chief Operating Officer (“COO”) $18,000 per month, then upon the completion of initial Business Combination or liquidation, an amount equal to $600,000 less the total amount of all such monthly payments made up to that time, for services as COO pursuant to an advisory agreement. Prior to initial Business Combination, no payments under this agreement shall be made from amounts held in the Trust Account. As of June 30, 2026 and December 31, 2025, $103,935 and $0 has been incurred and paid for these services and is reflected in the condensed consolidated statement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will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$2,000,000 of such Working Capital Loans may be convertible into Private Placement Warrants of the post Business Combination entity at a price of $1.00 per warrant at the option of the lender. As of June 30, 2026 and December 31, 2025, no such Working Capital Loans were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COMMITMENTS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United States and global markets are experiencing volatility and disruption following the geopolitical instability resulting from the ongoing Russia-Ukraine conflict and the middle east conflicts. 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and to Israel, increasing geopolitical tensions among a number of nations. The invasion of Ukraine by Russia and the middle east conflicts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COMMITMENTS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 mentioned factors, or any other negative impact on the global economy, capital markets or other geopolitical conditions resulting from the Russian invasion of Ukraine, the middle east conflicts and subsequent sanctions or related actions, could adversely affect the Company’s search for an initial Business Combination and any target business with which the Company may ultimately consummate an initial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Founder Shares, Private Placement Warrants (and the Class A ordinary shares issuable upon exercise of the Private Placement Warrants) and Private Placement Warrants (and the Class A ordinary shares issuable upon exercise of the Private Placement Warrants) that may be issued upon conversion of Working Capital Loans, if any, and any Class A ordinary shares issuable upon conversion of the founder shares and any Class A ordinary shares held by the initial shareholders at the completion of the Initial Public Offering or acquired prior to or in connection with the initial Business Combination, will be entitled to registration rights pursuant to a registration rights agreement to be signed prior to or on the effective date of the registration statement for the Initial Public Offering. These holders will be entitled to make up to three demands excluding short form demands, and have piggyback registration rights. Notwithstanding anything to the contrary, the underwriters may only make a demand on one occasion and only during the five-year period beginning on the effective date of the Initial Public Offering. In addition, the underwriters may participate in a piggyback registration only during the seven-year period beginning on the effective date of the Initial Public Offering. The Company will bear the expenses incurred in connection with the filing of any such registration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Underwriting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have a 45-day option from the date of the Initial Public Offering to purchase up to an additional 3,750,000 Units to cover over-allotments, if any. On January 9, 2026, the underwriters elected to fully exercise their over-allotment option to purchase an additional 3,750,000 Units at a price of $10.00 per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were entitled to a cash underwriting discount of $5,000,000 (2.0% of the gross proceeds of the Units sold in the Initial Public Offering) which was paid at the closing of the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underwriters are entitled to a deferred underwriting discount of 4.00% of the gross proceeds of the Initial Public Offering held in the Trust Account, up to $12,250,000 in the aggregate upon the completion of the Company’s Initial Business Combination subject to the terms of the underwriting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Accrued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increased from $300 at December 31, 2025 to $6,153,980 at June 30, 2026, primarily due to increased accrued legal fees related to the Business Combination Agreement with Pasqal and will be paid at the closing of the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Signing Date, the Company entered into the Business Combination Agreement, by and among the Company, the Initial Merger Sub, and Pasqal. On May 26, 2026, Bleichroeder Acquisition France Merger Sub 2,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(“Parent Merger Sub”), was substituted for Initial Merger Sub as a party to, and as “Parent Merger Sub” under, the Business Combination Agreement pursuant to Amendment No. 1. On June 25, 2026, the Company, Parent Merger Sub and Pasqal entered into Amendment No. 2. On July 22, 2026,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COMMITMENTS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Parent Merger Sub and Pasqal entered into Amendment No. 3. Pursuant to the Business Combination Agreement, as amended, among other things and subject to the terms and conditions therein, (i) the Company will merge with and into Parent Merger Sub (the “Reincorporation Merger”), with Parent Merger Sub being the surviving entity of the Reincorporation Merger (“Parent Surviving Corporation”), and (ii) as promptly as practicable after the effective time of the Reincorporation Merger (the “Reincorporation Merger Effective Time”), Pasqal will merge with and into the Parent Surviving Corporation by way of a merger by absorption (</w:t>
      </w:r>
      <w:r>
        <w:rPr>
          <w:rFonts w:ascii="Times New Roman PS Std;serif" w:hAnsi="Times New Roman PS Std;serif"/>
          <w:b w:val="false"/>
          <w:i/>
          <w:caps w:val="false"/>
          <w:smallCaps w:val="false"/>
          <w:sz w:val="20"/>
        </w:rPr>
        <w:t>fusion-absorption</w:t>
      </w:r>
      <w:r>
        <w:rPr>
          <w:rFonts w:ascii="Times New Roman PS Std;serif" w:hAnsi="Times New Roman PS Std;serif"/>
          <w:b w:val="false"/>
          <w:i w:val="false"/>
          <w:caps w:val="false"/>
          <w:smallCaps w:val="false"/>
          <w:sz w:val="20"/>
        </w:rPr>
        <w:t>) in accordance with the applicable provisions of the French Commercial Code (</w:t>
      </w:r>
      <w:r>
        <w:rPr>
          <w:rFonts w:ascii="Times New Roman PS Std;serif" w:hAnsi="Times New Roman PS Std;serif"/>
          <w:b w:val="false"/>
          <w:i/>
          <w:caps w:val="false"/>
          <w:smallCaps w:val="false"/>
          <w:sz w:val="20"/>
        </w:rPr>
        <w:t>Code de commerce</w:t>
      </w:r>
      <w:r>
        <w:rPr>
          <w:rFonts w:ascii="Times New Roman PS Std;serif" w:hAnsi="Times New Roman PS Std;serif"/>
          <w:b w:val="false"/>
          <w:i w:val="false"/>
          <w:caps w:val="false"/>
          <w:smallCaps w:val="false"/>
          <w:sz w:val="20"/>
        </w:rPr>
        <w:t>), including Articles L. 236-1 et seq (the “Merger”, and together with the Reincorporation Merger, the “Mergers”), with Parent Surviving Corporation being the surviving entity of the Merger and changing its name to “Pasqal Holding SA” or such other name selected by Pasqal (“New Pasqal”).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Business Combination Agreement, on March 4, 2026, Bleichroeder, Initial Merger Sub and the accredited investors named therein (the “Existing Purchasers”) entered into a Securities Purchase Agreement (the “SPA”). On May 23, 2026, Bleichroeder, Initial Merger Sub, Inflection Point Asset Management LLC and an accredited investor advised by Inflection Point Asset Management LLC (the “New Purchaser” and, together with the Existing Purchasers, the “Investors”) entered into Amendment No. 1 to the SPA (the “SPA Amendment”), which increased the aggregate subscription price under the SPA by $50.0 million and joined the New Purchaser as an additional Investor under the SPA. In connection with Amendment No. 1 to the Business Combination Agreement, on May 26, 2026, Initial Merger Sub and Parent Merger Sub also entered into an assignment and assumption agreement pursuant to which Parent Merger Sub assumed all of Initial Merger Sub’s rights and obligations under the SPA and Initial Merger Sub was released from such obligations arising from and after that date. Pursuant to the SPA, as amended by the SPA Amendment, the Investors have agreed, among other things, subject to certain conditions, to purchase $312 million aggregate principal amount of senior unsecured convertible bonds convertible into New Pasqal Shares (the “Senior Unsecured Convertible Bonds”) and warrants to purchase a number of New Pasqal Shares equal to 125% of the total number of New Pasqal Shares into which the Senior Unsecured Convertible Bonds are initially convertible at Closing (the “Investment Warrants”), for an aggregate purchase price of $250 million, reflecting a 20% original issue discount (the “Investment”). The closing of the Investment shall occur substantially concurrent with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French Commercial Code, the Senior Unsecured Convertible Bonds will be issued pursuant to the Terms and Conditions (</w:t>
      </w:r>
      <w:r>
        <w:rPr>
          <w:rFonts w:ascii="Times New Roman PS Std;serif" w:hAnsi="Times New Roman PS Std;serif"/>
          <w:b w:val="false"/>
          <w:i/>
          <w:caps w:val="false"/>
          <w:smallCaps w:val="false"/>
          <w:sz w:val="20"/>
        </w:rPr>
        <w:t>termes et conditions des obligations convertibles en actions ordinaires</w:t>
      </w:r>
      <w:r>
        <w:rPr>
          <w:rFonts w:ascii="Times New Roman PS Std;serif" w:hAnsi="Times New Roman PS Std;serif"/>
          <w:b w:val="false"/>
          <w:i w:val="false"/>
          <w:caps w:val="false"/>
          <w:smallCaps w:val="false"/>
          <w:sz w:val="20"/>
        </w:rPr>
        <w:t>) attached to New Pasqal’s shareholders decision issuing the Senior Unsecured Convertible Bonds (the “Senior Unsecured Convertible Bonds Terms and Conditions”), and the Investment Warrants will be issued pursuant to the Terms and Conditions (</w:t>
      </w:r>
      <w:r>
        <w:rPr>
          <w:rFonts w:ascii="Times New Roman PS Std;serif" w:hAnsi="Times New Roman PS Std;serif"/>
          <w:b w:val="false"/>
          <w:i/>
          <w:caps w:val="false"/>
          <w:smallCaps w:val="false"/>
          <w:sz w:val="20"/>
        </w:rPr>
        <w:t>termes et conditions des bons de souscriptions d’actions</w:t>
      </w:r>
      <w:r>
        <w:rPr>
          <w:rFonts w:ascii="Times New Roman PS Std;serif" w:hAnsi="Times New Roman PS Std;serif"/>
          <w:b w:val="false"/>
          <w:i w:val="false"/>
          <w:caps w:val="false"/>
          <w:smallCaps w:val="false"/>
          <w:sz w:val="20"/>
        </w:rPr>
        <w:t>) attached to New Pasqal’s shareholders decision issuing the Investment Warrants (the “Investment Warrants Terms and Conditions”).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SHAREHOLDER’S DEFICIT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Preference Shares</w:t>
      </w:r>
      <w:r>
        <w:rPr>
          <w:rFonts w:ascii="Times New Roman PS Std;serif" w:hAnsi="Times New Roman PS Std;serif"/>
          <w:b w:val="false"/>
          <w:i w:val="false"/>
          <w:caps w:val="false"/>
          <w:smallCaps w:val="false"/>
          <w:sz w:val="20"/>
        </w:rPr>
        <w:t> — The Company is authorized to issue a total of 5,000,000 preference shares at par value of $0.0001 each. As of June 30, 2026 and December 31, 2025, there were no preference shares issued or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A Ordinary Shares </w:t>
      </w:r>
      <w:r>
        <w:rPr>
          <w:rFonts w:ascii="Times New Roman PS Std;serif" w:hAnsi="Times New Roman PS Std;serif"/>
          <w:b w:val="false"/>
          <w:i w:val="false"/>
          <w:caps w:val="false"/>
          <w:smallCaps w:val="false"/>
          <w:sz w:val="20"/>
        </w:rPr>
        <w:t>— The Company is authorized to issue a total of 500,000,000 Class A ordinary shares at par value of $0.0001 each. As of June 30, 2026 and December 31, 2025, there were no Class A ordinary shares issued or outstanding (excluding 28,750,000 Class A ordinary shares subject to possible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B Ordinary Shares </w:t>
      </w:r>
      <w:r>
        <w:rPr>
          <w:rFonts w:ascii="Times New Roman PS Std;serif" w:hAnsi="Times New Roman PS Std;serif"/>
          <w:b w:val="false"/>
          <w:i w:val="false"/>
          <w:caps w:val="false"/>
          <w:smallCaps w:val="false"/>
          <w:sz w:val="20"/>
        </w:rPr>
        <w:t>— The Company is authorized to issue a total of 50,000,000 Class B ordinary shares at par value of $0.0001 each. As of June 30, 2026 and December 31, 2025, there were 9,583,333 Class B ordinary shares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SHAREHOLDER’S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founder shares will automatically convert into Class A ordinary shares in connection with the consummation of the initial Business Combination or earlier at the option of the holder on a one-for-one basis, subject to adjustment for share subdivisions, share capitalizations, reorganizations, recapitalizations and the like.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25% of the sum of (i) all ordinary shares issued and outstanding upon the completion of the Initial Public Offering (including any Class A ordinary shares issued pursuant to the underwriters’ over-allotment option and excluding the Class A ordinary shares underlying the Private Placement Warrants issued to the Sponsor), plus (ii) all Class A ordinary shares and equity-linked securities issued or deemed issued in connection with the closing of the initial Business Combination (subject to certain exclusions described herein) minus (iii) any redemptions of Class A ordinary shares by Public Shareholders in connection with an initial Business Combination, and any shares or equity-linked securities issued, or to be issued, to any seller in the Business Combination and in connection with any amendment to the amended and restated memorandum and articles of association made prior to the consummation of the initial Business Combination (A) to modify the substance or timing of the Company’s obligation to allow redemption in connection with the initial Business Combination or to redeem 100% of its Public Shares if the Company does not complete its initial Business Combination within the Completion Window or (B) with respect to any other material provisions relating to the rights of holders of Class A ordinary shares or pre-business combination activity; provided that such conversion of founder shares will never occur on a less than one-for-one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of the Company’s Class A ordinary shares and Class B ordinary shares are entitled to one vote for each share held on all matters to be voted on by shareholders. Unless specified in the amended and restated memorandum and articles of association or as required by the Companies Act or stock exchange rules, an ordinary resolution under Cayman Islands law and the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and pursuant to the amended and restated memorandum and articles of association, such actions include amending the amended and restated memorandum and articles of association and approving a statutory merger or consolidation with another company. There is no cumulative voting with respect to the appointment of directors, meaning, following the initial Business Combination, the holders of more than 50% of the ordinary shares voted for the appointment of directors can elect all of the directors. Prior to, or in connection with, the closing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the Company approving a transfer by way of continuation in a jurisdiction outside the Cayman Islands). Holders of the Class A ordinary shares will not be entitled to vote on these matters during such time. These provisions of the amended and restated memorandum and articles of association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tbl>
      <w:tblPr>
        <w:tblW w:w="10205" w:type="dxa"/>
        <w:jc w:val="left"/>
        <w:tblInd w:w="0" w:type="dxa"/>
        <w:tblLayout w:type="fixed"/>
        <w:tblCellMar>
          <w:top w:w="0" w:type="dxa"/>
          <w:left w:w="0" w:type="dxa"/>
          <w:bottom w:w="0" w:type="dxa"/>
          <w:right w:w="0" w:type="dxa"/>
        </w:tblCellMar>
      </w:tblPr>
      <w:tblGrid>
        <w:gridCol w:w="161"/>
        <w:gridCol w:w="146"/>
        <w:gridCol w:w="693"/>
        <w:gridCol w:w="146"/>
        <w:gridCol w:w="9059"/>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69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1:</w:t>
            </w:r>
          </w:p>
        </w:tc>
        <w:tc>
          <w:tcPr>
            <w:tcW w:w="146" w:type="dxa"/>
            <w:tcBorders/>
          </w:tcPr>
          <w:p>
            <w:pPr>
              <w:pStyle w:val="TableContents"/>
              <w:bidi w:val="0"/>
              <w:spacing w:before="0" w:after="283"/>
              <w:jc w:val="left"/>
              <w:rPr/>
            </w:pPr>
            <w:r>
              <w:rPr/>
              <w:t> </w:t>
            </w:r>
          </w:p>
        </w:tc>
        <w:tc>
          <w:tcPr>
            <w:tcW w:w="905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2:</w:t>
            </w:r>
          </w:p>
        </w:tc>
        <w:tc>
          <w:tcPr>
            <w:tcW w:w="146" w:type="dxa"/>
            <w:tcBorders/>
          </w:tcPr>
          <w:p>
            <w:pPr>
              <w:pStyle w:val="TableContents"/>
              <w:bidi w:val="0"/>
              <w:spacing w:before="0" w:after="283"/>
              <w:jc w:val="left"/>
              <w:rPr/>
            </w:pPr>
            <w:r>
              <w:rPr/>
              <w:t> </w:t>
            </w:r>
          </w:p>
        </w:tc>
        <w:tc>
          <w:tcPr>
            <w:tcW w:w="905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Observable inputs other than Level 1 inputs. Examples of Level 2 inputs include quoted prices in active markets for similar assets or liabilities and quoted prices for identical assets or liabilities in markets that are not active.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3:</w:t>
            </w:r>
          </w:p>
        </w:tc>
        <w:tc>
          <w:tcPr>
            <w:tcW w:w="146" w:type="dxa"/>
            <w:tcBorders/>
          </w:tcPr>
          <w:p>
            <w:pPr>
              <w:pStyle w:val="TableContents"/>
              <w:bidi w:val="0"/>
              <w:spacing w:before="0" w:after="283"/>
              <w:jc w:val="left"/>
              <w:rPr/>
            </w:pPr>
            <w:r>
              <w:rPr/>
              <w:t> </w:t>
            </w:r>
          </w:p>
        </w:tc>
        <w:tc>
          <w:tcPr>
            <w:tcW w:w="905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Unobservable inputs based on assessment of the assumptions that market participants would use in pricing the asset or liability.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Public Warrants is $3,373,333, or $0.352 per Public Warrant. The fair value of Public Warrants was determined using Monte Carlo Simulation Model. The Public Warrants have been classified within shareholders’ deficit and will not require remeasurement after issuance. The following table presents the quantitative information regarding market assumptions used in the Level 3 valuation of the Public Warrants:</w:t>
      </w:r>
    </w:p>
    <w:tbl>
      <w:tblPr>
        <w:tblW w:w="6225" w:type="dxa"/>
        <w:jc w:val="left"/>
        <w:tblInd w:w="0" w:type="dxa"/>
        <w:tblLayout w:type="fixed"/>
        <w:tblCellMar>
          <w:top w:w="0" w:type="dxa"/>
          <w:left w:w="0" w:type="dxa"/>
          <w:bottom w:w="0" w:type="dxa"/>
          <w:right w:w="0" w:type="dxa"/>
        </w:tblCellMar>
      </w:tblPr>
      <w:tblGrid>
        <w:gridCol w:w="4696"/>
        <w:gridCol w:w="146"/>
        <w:gridCol w:w="286"/>
        <w:gridCol w:w="706"/>
        <w:gridCol w:w="391"/>
      </w:tblGrid>
      <w:tr>
        <w:trPr/>
        <w:tc>
          <w:tcPr>
            <w:tcW w:w="4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January 9, </w:t>
              <w:br/>
              <w:t>2026</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Underlying stock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Volatility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De-SPAC and market adjustment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term (years)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about the Company’s assets and liabilities that are measured at fair value on a recurring basis as of June 30, 2026 and December 31, 2025, and indicates the fair value hierarchy of the valuation techniques that the Company utilized to determine such fair value:</w:t>
      </w:r>
    </w:p>
    <w:tbl>
      <w:tblPr>
        <w:tblW w:w="10205" w:type="dxa"/>
        <w:jc w:val="left"/>
        <w:tblInd w:w="0" w:type="dxa"/>
        <w:tblLayout w:type="fixed"/>
        <w:tblCellMar>
          <w:top w:w="0" w:type="dxa"/>
          <w:left w:w="0" w:type="dxa"/>
          <w:bottom w:w="0" w:type="dxa"/>
          <w:right w:w="0" w:type="dxa"/>
        </w:tblCellMar>
      </w:tblPr>
      <w:tblGrid>
        <w:gridCol w:w="5733"/>
        <w:gridCol w:w="146"/>
        <w:gridCol w:w="706"/>
        <w:gridCol w:w="146"/>
        <w:gridCol w:w="286"/>
        <w:gridCol w:w="1366"/>
        <w:gridCol w:w="146"/>
        <w:gridCol w:w="650"/>
        <w:gridCol w:w="1026"/>
      </w:tblGrid>
      <w:tr>
        <w:trPr/>
        <w:tc>
          <w:tcPr>
            <w:tcW w:w="57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57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6" w:type="dxa"/>
            <w:tcBorders/>
            <w:shd w:fill="CCEEFF" w:val="clear"/>
            <w:vAlign w:val="bottom"/>
          </w:tcPr>
          <w:p>
            <w:pPr>
              <w:pStyle w:val="TableContents"/>
              <w:bidi w:val="0"/>
              <w:spacing w:before="0" w:after="283"/>
              <w:jc w:val="left"/>
              <w:rPr/>
            </w:pPr>
            <w:r>
              <w:rPr/>
              <w:t> </w:t>
            </w:r>
          </w:p>
        </w:tc>
      </w:tr>
      <w:tr>
        <w:trPr/>
        <w:tc>
          <w:tcPr>
            <w:tcW w:w="573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 – U.S. Treasury Securities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292,280,120</w:t>
            </w:r>
          </w:p>
        </w:tc>
        <w:tc>
          <w:tcPr>
            <w:tcW w:w="146" w:type="dxa"/>
            <w:tcBorders/>
            <w:vAlign w:val="bottom"/>
          </w:tcPr>
          <w:p>
            <w:pPr>
              <w:pStyle w:val="TableContents"/>
              <w:bidi w:val="0"/>
              <w:spacing w:before="0" w:after="283"/>
              <w:jc w:val="left"/>
              <w:rPr/>
            </w:pPr>
            <w:r>
              <w:rPr/>
              <w:t> </w:t>
            </w:r>
          </w:p>
        </w:tc>
        <w:tc>
          <w:tcPr>
            <w:tcW w:w="65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Topic 280, “Segment Reporting,” establishes standards for companies to report in their unaudited condensed financial statements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(the “CODM”), or group, in deciding how to allocate resources and assess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CODM has been identified as the Chief Financial Officer, who reviews the operating results for the Company as a whole to make decisions about allocating resources and assessing financial performance. Accordingly, management has determined that the Company only has one reporting segment.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assesses performance for the single segment and decides how to allocate resources based on net income or loss that also is reported on the statement of operations as net income or loss. The measure of segment assets is reported on the condensed balance sheets as total assets. When evaluating the Company’s performance and making key decisions regarding resource allocation, the CODM reviews several key metrics included in net income or loss and total assets, which include the following:</w:t>
      </w:r>
    </w:p>
    <w:tbl>
      <w:tblPr>
        <w:tblW w:w="7075" w:type="dxa"/>
        <w:jc w:val="left"/>
        <w:tblInd w:w="0" w:type="dxa"/>
        <w:tblLayout w:type="fixed"/>
        <w:tblCellMar>
          <w:top w:w="0" w:type="dxa"/>
          <w:left w:w="0" w:type="dxa"/>
          <w:bottom w:w="0" w:type="dxa"/>
          <w:right w:w="0" w:type="dxa"/>
        </w:tblCellMar>
      </w:tblPr>
      <w:tblGrid>
        <w:gridCol w:w="3451"/>
        <w:gridCol w:w="146"/>
        <w:gridCol w:w="286"/>
        <w:gridCol w:w="1366"/>
        <w:gridCol w:w="146"/>
        <w:gridCol w:w="652"/>
        <w:gridCol w:w="1028"/>
      </w:tblGrid>
      <w:tr>
        <w:trPr/>
        <w:tc>
          <w:tcPr>
            <w:tcW w:w="34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866,407</w:t>
            </w:r>
          </w:p>
        </w:tc>
        <w:tc>
          <w:tcPr>
            <w:tcW w:w="146"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292,280,120</w:t>
            </w:r>
          </w:p>
        </w:tc>
        <w:tc>
          <w:tcPr>
            <w:tcW w:w="146" w:type="dxa"/>
            <w:tcBorders/>
            <w:vAlign w:val="bottom"/>
          </w:tcPr>
          <w:p>
            <w:pPr>
              <w:pStyle w:val="TableContents"/>
              <w:bidi w:val="0"/>
              <w:spacing w:before="0" w:after="283"/>
              <w:jc w:val="left"/>
              <w:rPr/>
            </w:pPr>
            <w:r>
              <w:rPr/>
              <w:t> </w:t>
            </w:r>
          </w:p>
        </w:tc>
        <w:tc>
          <w:tcPr>
            <w:tcW w:w="6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tbl>
      <w:tblPr>
        <w:tblW w:w="8680" w:type="dxa"/>
        <w:jc w:val="left"/>
        <w:tblInd w:w="0" w:type="dxa"/>
        <w:tblLayout w:type="fixed"/>
        <w:tblCellMar>
          <w:top w:w="0" w:type="dxa"/>
          <w:left w:w="0" w:type="dxa"/>
          <w:bottom w:w="0" w:type="dxa"/>
          <w:right w:w="0" w:type="dxa"/>
        </w:tblCellMar>
      </w:tblPr>
      <w:tblGrid>
        <w:gridCol w:w="5296"/>
        <w:gridCol w:w="146"/>
        <w:gridCol w:w="331"/>
        <w:gridCol w:w="1304"/>
        <w:gridCol w:w="146"/>
        <w:gridCol w:w="286"/>
        <w:gridCol w:w="1171"/>
      </w:tblGrid>
      <w:tr>
        <w:trPr/>
        <w:tc>
          <w:tcPr>
            <w:tcW w:w="52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June 30, </w:t>
              <w:br/>
              <w:t>2026</w:t>
            </w:r>
          </w:p>
        </w:tc>
      </w:tr>
      <w:tr>
        <w:trPr/>
        <w:tc>
          <w:tcPr>
            <w:tcW w:w="5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2,265,709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7,173,851</w:t>
            </w:r>
          </w:p>
        </w:tc>
      </w:tr>
      <w:tr>
        <w:trPr/>
        <w:tc>
          <w:tcPr>
            <w:tcW w:w="5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earned on investments held in Trust Account</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4,780,120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reviews interest earned on investments held in Trust Account to measure and monitor shareholder value and determine the most effective strategy of investment with the Trust Account funds while maintaining compliance with the Investment Management Trust Agreement, January 7, 2026, by and between the Company and Continental Stock Transfer &amp; Trust Company, (the “Trust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 are reviewed and monitored by the CODM to manage and forecast cash to ensure enough capital is available to complete an initial business combination or similar transaction within the Completion Window. The CODM also reviews Formation, general, and administrative costs to manage, maintain and enforce all contractual agreements to ensure costs are aligned with all agreements and budget. Formation, general, and administrative costs, as reported on the statement of operations, are the significant segment expenses provided to the CODM on a regular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segment items included in net loss are reported on the statement of operations and described within their respective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and transactions that occurred after the balance sheet date up to the date that the consolidated financial statements were issued. Based upon this review, other than as described below, the Company did not identify any additional subsequent events that would have required adjustment or disclosure in the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22, 2026, the Company, Parent Merger Sub and Pasqal entered into Amendment No. 3 to the Agreement and Plan of Merger (“Amendment No. 3”), which amended and restated the provision of the Business Combination Agreement governing the equity incentive plan to be adopted by the Parent Surviving Corporation in connection with the Business Combination. As amended by Amendment No. 3, the long-term incentive plan (the “LTIP”) will provide for awards in the form of founder’s warrants or free shares of up to 10% of the aggregate number of the Parent Surviving Corporation’s shares issued and outstanding immediately after the closing of the Business Combination on a fully-diluted and as-converted basis (after giving effect to any redemptions by the Company’s shareholders). Amendment No. 3 further provides that the Company and Pasqal will negotiate additional edits to the LTIP, including vesting criteria for new award recipients based on performance conditions, in good faith based on recommendations from Pasqal’s compensation consultant, subject to approval of the Parent Surviving Corporation’s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7006"/>
      <w:bookmarkEnd w:id="28"/>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 and the Board of Directors of</w:t>
        <w:br/>
        <w:t>Bleichroeder Acquisition Corp. II:</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balance sheet of Bleichroeder Acquisition Corp. II (the “Company”) as of December 31, 2025, and the related statements of operations, changes in shareholder’s deficit, and cash flows for the period from August 27, 2025 (inception) through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period from August 27, 2025 (inception) through December 31, 2025,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WithumSmith+Brown,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2025.</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w:t>
        <w:br/>
        <w:t>March 16, 2026</w:t>
        <w:br/>
        <w:t>PCAOB ID Number 100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7007"/>
      <w:bookmarkEnd w:id="29"/>
      <w:r>
        <w:rPr>
          <w:rFonts w:ascii="Times New Roman PS Std;serif" w:hAnsi="Times New Roman PS Std;serif"/>
          <w:b/>
          <w:i w:val="false"/>
          <w:caps w:val="false"/>
          <w:smallCaps w:val="false"/>
          <w:sz w:val="20"/>
        </w:rPr>
        <w:t xml:space="preserve">BLEICHROEDER ACQUISITION CORP. II </w:t>
        <w:br/>
        <w:t>BALANCE SHEET</w:t>
        <w:br/>
        <w:t>DECEMBER 31, 2025</w:t>
      </w:r>
    </w:p>
    <w:tbl>
      <w:tblPr>
        <w:tblW w:w="10205" w:type="dxa"/>
        <w:jc w:val="left"/>
        <w:tblInd w:w="0" w:type="dxa"/>
        <w:tblLayout w:type="fixed"/>
        <w:tblCellMar>
          <w:top w:w="0" w:type="dxa"/>
          <w:left w:w="0" w:type="dxa"/>
          <w:bottom w:w="0" w:type="dxa"/>
          <w:right w:w="0" w:type="dxa"/>
        </w:tblCellMar>
      </w:tblPr>
      <w:tblGrid>
        <w:gridCol w:w="8406"/>
        <w:gridCol w:w="146"/>
        <w:gridCol w:w="301"/>
        <w:gridCol w:w="1051"/>
        <w:gridCol w:w="301"/>
      </w:tblGrid>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4,503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217,025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221,528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Promissory note –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248,013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259,104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Preference shares, $0.0001 par value; 5,000,000 shares authorized; none issued or outstanding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$0.0001 par value; 500,000,000 shares authorized; none issued and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$0.0001 par value; 50,000,000 shares authorized; 9,583,333 shares issued and outstanding(1)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Shareholder’s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221,528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an aggregate of up to 1,250,000 Class B ordinary shares subject to forfeiture by the holders thereof depending on the extent to which the underwriters’ over-allotment option was exercised (Note 5). On January 9, 2026, the Company consummated its Initial Public Offering and sold 28,750,000 Units, including 3,750,000 Units sold pursuant to the exercise of the underwriters’ option in full to purchase additional units to cover the over-allotment; hence, the 1,250,000 shares of Class B ordinary shares were no longer subject to forfeiture.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7008"/>
      <w:bookmarkEnd w:id="30"/>
      <w:r>
        <w:rPr>
          <w:rFonts w:ascii="Times New Roman PS Std;serif" w:hAnsi="Times New Roman PS Std;serif"/>
          <w:b/>
          <w:i w:val="false"/>
          <w:caps w:val="false"/>
          <w:smallCaps w:val="false"/>
          <w:sz w:val="20"/>
        </w:rPr>
        <w:t xml:space="preserve">BLEICHROEDER ACQUISITION CORP. II </w:t>
        <w:br/>
        <w:t>STATEMENT OF OPERATIONS</w:t>
        <w:br/>
        <w:t>FOR THE PERIOD FROM AUGUST 27, 2025 (INCEPTION) THROUGH DECEMBER 31, 2025</w:t>
      </w:r>
    </w:p>
    <w:tbl>
      <w:tblPr>
        <w:tblW w:w="7755" w:type="dxa"/>
        <w:jc w:val="left"/>
        <w:tblInd w:w="0" w:type="dxa"/>
        <w:tblLayout w:type="fixed"/>
        <w:tblCellMar>
          <w:top w:w="0" w:type="dxa"/>
          <w:left w:w="0" w:type="dxa"/>
          <w:bottom w:w="0" w:type="dxa"/>
          <w:right w:w="0" w:type="dxa"/>
        </w:tblCellMar>
      </w:tblPr>
      <w:tblGrid>
        <w:gridCol w:w="5881"/>
        <w:gridCol w:w="146"/>
        <w:gridCol w:w="301"/>
        <w:gridCol w:w="1126"/>
        <w:gridCol w:w="301"/>
      </w:tblGrid>
      <w:tr>
        <w:trPr/>
        <w:tc>
          <w:tcPr>
            <w:tcW w:w="5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(62,576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basic and diluted(1)</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8,333,333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net loss per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Excluded an aggregate of up to 1,250,000 Class B ordinary shares that were subject to forfeiture depending on the extent to which the underwriters’ over-allotment option was exercised (see Note 5). On January 9, 2026, the Company consummated its Initial Public Offering and sold 28,750,000 Units, including 3,750,000 Units sold pursuant to the exercise of the underwriters’ option in full to purchase additional units to cover the over-allotment; hence, the 1,250,000 shares of Class B ordinary shares were no longer subject to forfeiture.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7009"/>
      <w:bookmarkEnd w:id="31"/>
      <w:r>
        <w:rPr>
          <w:rFonts w:ascii="Times New Roman PS Std;serif" w:hAnsi="Times New Roman PS Std;serif"/>
          <w:b/>
          <w:i w:val="false"/>
          <w:caps w:val="false"/>
          <w:smallCaps w:val="false"/>
          <w:sz w:val="20"/>
        </w:rPr>
        <w:t xml:space="preserve">BLEICHROEDER ACQUISITION CORP. II </w:t>
        <w:br/>
        <w:t>STATEMENT OF CHANGES IN SHAREHOLDER’S DEFICIT</w:t>
        <w:br/>
        <w:t>FOR THE PERIOD FROM AUGUST 27, 2025 (INCEPTION) THROUGH DECEMBER 31, 2025</w:t>
      </w:r>
    </w:p>
    <w:tbl>
      <w:tblPr>
        <w:tblW w:w="12188" w:type="dxa"/>
        <w:jc w:val="left"/>
        <w:tblInd w:w="0" w:type="dxa"/>
        <w:tblLayout w:type="fixed"/>
        <w:tblCellMar>
          <w:top w:w="0" w:type="dxa"/>
          <w:left w:w="0" w:type="dxa"/>
          <w:bottom w:w="0" w:type="dxa"/>
          <w:right w:w="0" w:type="dxa"/>
        </w:tblCellMar>
      </w:tblPr>
      <w:tblGrid>
        <w:gridCol w:w="2651"/>
        <w:gridCol w:w="146"/>
        <w:gridCol w:w="871"/>
        <w:gridCol w:w="146"/>
        <w:gridCol w:w="415"/>
        <w:gridCol w:w="561"/>
        <w:gridCol w:w="146"/>
        <w:gridCol w:w="1261"/>
        <w:gridCol w:w="146"/>
        <w:gridCol w:w="336"/>
        <w:gridCol w:w="640"/>
        <w:gridCol w:w="146"/>
        <w:gridCol w:w="301"/>
        <w:gridCol w:w="916"/>
        <w:gridCol w:w="146"/>
        <w:gridCol w:w="301"/>
        <w:gridCol w:w="1006"/>
        <w:gridCol w:w="256"/>
        <w:gridCol w:w="146"/>
        <w:gridCol w:w="309"/>
        <w:gridCol w:w="1032"/>
        <w:gridCol w:w="310"/>
      </w:tblGrid>
      <w:tr>
        <w:trPr/>
        <w:tc>
          <w:tcPr>
            <w:tcW w:w="2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br/>
              <w:t>Ordinary Shares</w:t>
            </w:r>
          </w:p>
        </w:tc>
        <w:tc>
          <w:tcPr>
            <w:tcW w:w="146" w:type="dxa"/>
            <w:tcBorders/>
            <w:vAlign w:val="bottom"/>
          </w:tcPr>
          <w:p>
            <w:pPr>
              <w:pStyle w:val="TableContents"/>
              <w:bidi w:val="0"/>
              <w:spacing w:before="0" w:after="283"/>
              <w:jc w:val="left"/>
              <w:rPr/>
            </w:pPr>
            <w:r>
              <w:rPr/>
              <w:t> </w:t>
            </w:r>
          </w:p>
        </w:tc>
        <w:tc>
          <w:tcPr>
            <w:tcW w:w="238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Ordinary Shares</w:t>
            </w:r>
          </w:p>
        </w:tc>
        <w:tc>
          <w:tcPr>
            <w:tcW w:w="146" w:type="dxa"/>
            <w:tcBorders/>
            <w:vAlign w:val="bottom"/>
          </w:tcPr>
          <w:p>
            <w:pPr>
              <w:pStyle w:val="TableContents"/>
              <w:bidi w:val="0"/>
              <w:spacing w:before="0" w:after="283"/>
              <w:jc w:val="left"/>
              <w:rPr/>
            </w:pPr>
            <w:r>
              <w:rPr/>
              <w:t> </w:t>
            </w:r>
          </w:p>
        </w:tc>
        <w:tc>
          <w:tcPr>
            <w:tcW w:w="1217"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56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1651"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Shareholder’s</w:t>
              <w:br/>
              <w:t>Deficit</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Shares(1)</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17"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6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51" w:type="dxa"/>
            <w:gridSpan w:val="3"/>
            <w:vMerge w:val="continue"/>
            <w:tcBorders/>
            <w:vAlign w:val="bottom"/>
          </w:tcPr>
          <w:p>
            <w:pPr>
              <w:pStyle w:val="Normal"/>
              <w:bidi w:val="0"/>
              <w:jc w:val="left"/>
              <w:rPr/>
            </w:pPr>
            <w:r>
              <w:rPr/>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August 27, 2025 (inception)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Class B ordinary to Sponsor(1)</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31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December 31, 2025</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3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24,042</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(62,576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(37,576</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an aggregate of up to 1,250,000 Class B ordinary shares subject to forfeiture by the holders thereof depending on the extent to which the underwriters’ over-allotment option was exercised (Note 5). On January 9, 2026, the Company consummated its Initial Public Offering and sold 28,750,000 Units, including 3,750,000 Units sold pursuant to the exercise of the underwriters’ option in full to purchase additional units to cover the over-allotment; hence, the 1,250,000 shares of Class B ordinary shares were no longer subject to forfeiture.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7010"/>
      <w:bookmarkEnd w:id="32"/>
      <w:r>
        <w:rPr>
          <w:rFonts w:ascii="Times New Roman PS Std;serif" w:hAnsi="Times New Roman PS Std;serif"/>
          <w:b/>
          <w:i w:val="false"/>
          <w:caps w:val="false"/>
          <w:smallCaps w:val="false"/>
          <w:sz w:val="20"/>
        </w:rPr>
        <w:t xml:space="preserve">BLEICHROEDER ACQUISITION CORP. II </w:t>
        <w:br/>
        <w:t>STATEMENT OF CASH FLOWS</w:t>
        <w:br/>
        <w:t>FOR THE PERIOD FROM AUGUST 27, 2025 (INCEPTION) THROUGH DECEMBER 31, 2025</w:t>
      </w:r>
    </w:p>
    <w:tbl>
      <w:tblPr>
        <w:tblW w:w="10205" w:type="dxa"/>
        <w:jc w:val="left"/>
        <w:tblInd w:w="0" w:type="dxa"/>
        <w:tblLayout w:type="fixed"/>
        <w:tblCellMar>
          <w:top w:w="0" w:type="dxa"/>
          <w:left w:w="0" w:type="dxa"/>
          <w:bottom w:w="0" w:type="dxa"/>
          <w:right w:w="0" w:type="dxa"/>
        </w:tblCellMar>
      </w:tblPr>
      <w:tblGrid>
        <w:gridCol w:w="8541"/>
        <w:gridCol w:w="146"/>
        <w:gridCol w:w="286"/>
        <w:gridCol w:w="946"/>
        <w:gridCol w:w="286"/>
      </w:tblGrid>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costs paid by Sponsor in exchange for the issuance of Class B ordinary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costs paid through promissory note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 Beginning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 Ending</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included in accrued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paid by Sponsor in exchange for the issuance of Class B ordinary shares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paid by Sponsor through promissory note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195,980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paid by Sponsor through promissory note – related party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7011"/>
      <w:bookmarkEnd w:id="33"/>
      <w:r>
        <w:rPr>
          <w:rFonts w:ascii="Times New Roman PS Std;serif" w:hAnsi="Times New Roman PS Std;serif"/>
          <w:b/>
          <w:i w:val="false"/>
          <w:caps w:val="false"/>
          <w:smallCaps w:val="false"/>
          <w:sz w:val="20"/>
        </w:rPr>
        <w:t xml:space="preserve">BLEICHROEDER ACQUISITION CORP. II </w:t>
        <w:br/>
        <w:t>NOTES TO FINANCIAL STATEMENTS</w:t>
        <w:br/>
        <w:t>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DESCRIPTION OF ORGANIZATION,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Acquisition Corp. II (the “Company”) is a blank check company incorporated as a Cayman Islands exempted company on August 27, 2025. The Company was incorporated for the purpose of effecting a merger, amalgamation, share exchange, asset acquisition, share purchase, reorganization or similar business combination with one or more businesses that the Company has not yet identified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not yet commenced operations. All activity for the period from August 27, 2025 (inception) through December 31, 2025 relates to the Company’s formation, the Initial Public Offering (the “Initial Public Offering”), and subsequent to the Initial Public Offering, identifying a target company for a Business Combination. The Company will not generate any operating revenues prior to the completion of the Business Combination and will generate non-operating income in the form of interest and/or dividend income from the proceeds derived from the Initial Public Offering. The Company has selected December 31 as its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Sponsor is Bleichroeder Sponsor 2 LLC (the “</w:t>
      </w:r>
      <w:r>
        <w:rPr>
          <w:rFonts w:ascii="Times New Roman PS Std;serif" w:hAnsi="Times New Roman PS Std;serif"/>
          <w:b/>
          <w:i w:val="false"/>
          <w:caps w:val="false"/>
          <w:smallCaps w:val="false"/>
          <w:sz w:val="20"/>
        </w:rPr>
        <w:t>Sponsor</w:t>
      </w:r>
      <w:r>
        <w:rPr>
          <w:rFonts w:ascii="Times New Roman PS Std;serif" w:hAnsi="Times New Roman PS Std;serif"/>
          <w:b w:val="false"/>
          <w:i w:val="false"/>
          <w:caps w:val="false"/>
          <w:smallCaps w:val="false"/>
          <w:sz w:val="20"/>
        </w:rPr>
        <w:t>”). The registration statement for the Company’s Initial Public Offering was declared effective on January 7, 2026. On January 9, 2026, the Company consummated the Initial Public Offering of 28,750,000 units (the “Units” and, with respect to the Class A ordinary shares included in the Units being offered, the “Public Shares”), which includes the full exercise by the underwriters of their over-allotment option of 3,750,000 Units, at $10.00 per Unit, generating gross proceeds of $287,500,000. Each Unit consists of one Class A ordinary share and one-third of one redeemable warrant (each “Public Warrant” and collectively, the “Public Warrants”). Each whole Public Warrant entitles the holder thereof to purchase one Class A ordinary share at a price of $11.50 per share, subject to 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(each “Private Placement Warrant”, collectively the “Private Placement Warrants”) at a price of $1.00 per Private Placement Warrant, generating gross proceeds of $7,750,000. Of those 7,750,000 Private Placement Warrants, the Sponsor purchased 5,000,000 Private Placement Warrants, and the underwriters, CCM and CS, purchased 2,750,000 Private Placement Warrants (or 2,612,500 and 137,500 Private Placement Warrants,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amounted to $17,870,483, consisting of $5,000,000 of cash underwriting fee, $12,250,000 of deferred underwriting fee, and $620,483 of other offering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must be with one or more target businesses that together have a fair market value equal to at least 80% of the value of the assets held in the Trust Account (as defined below) (excluding the deferred underwriting commissions and taxes payable on the interest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closing of the Initial Public Offering, on January 9, 2026, an amount of $287,500,000 ($10.00 per Unit) from the net proceeds of the sale of the Units and the Private Placement Warrants was placed in the trust account (the “Trust Account”), with U.S.-based trust account, Continental Stock Transfer &amp; Trust Company, acting as trustee, which will initially be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might be deemed to be an investment company for purposes of the Investment Company Act, which risk increases the longer that the Company holds investments in the Trust Account, the Company may, at any time (based on management team’s ongoing assessment of all factors related to the potential status under the Investment Company Act), instruct the trustee to liquidate the investments held in the Trust Account and instead to hold the funds in the Trust Account in cash or in an interest bearing demand deposit account at a bank. Except with respect to interest earned on the funds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held in the Trust Account that may be released to the Company to pay its taxes, if any, the proceeds from the Initial Public Offering and the sale of the Private Placement Units will not be released from the Trust Account until the earliest of (i) the completion of the Company’s initial Business Combination, (ii) the redemption of the Company’s Public Shares if the Company is unable to complete the initial Business Combination within 24 months from the closing of the Initial Public Offering or by such earlier liquidation date as the board of directors may approve (the “Completion Window”), subject to applicable law, or (iii) the redemption of the Company’s Public Shares properly submitted in connection with a shareholder vote to amend the Company’s Amended and Restated Memorandum and Articles of Association to (A) modify the substance or timing of the Company’s obligation to allow redemption in connection with the initial Business Combination or to redeem 100% of the Company’s Public Shares if the Company has not consummated an initial Business Combination within the Completion Window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provide the Company’s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Shareholders will be entitled to redeem their shares at a per-share price, payable in cash, equal to the aggregate amount then on deposit in the Trust Account calculated as of two business days prior to the consummation of the initial Business Combination, including interest earned on the funds held in the Trust Account (less taxes payable), divided by the number of then outstanding Public Shares, subject to the limitations. The amount in the Trust Account is initially anticipated to be $10.00 per Public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subject to redemption will be recorded at a redemption value and classified as temporary equity upon the completion of the Initial Public Offering, in accordance with Financial Accounting Standards Board (“FASB”) Accounting Standards Codification (“ASC”) Topic 480, “Distinguishing Liabilities from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have only the duration of the Completion Window to complete the initial Business Combination. However, if the Company is unable to complete its initial Business Combination within the Completion Window, the Company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constitute full and complete payment for the Public Shares and completely extinguish Public Shareholders’ rights as shareholders (including the right to receive further liquidation or other distributions, if any), subject to the Company’s obligations under Cayman Islands law to provide for claims of creditors and subject to the other requirements of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Sponsor, officers and directors have entered into a letter agreement with the Company, pursuant to which they have agreed to (i) waive their redemption rights with respect to their founder shares and Public Shares in connection with the completion of the initial Business Combination or an earlier redemption in connection with the commencement of the procedures to consummate the initial Business Combination if the Company determines it is desirable to facilitate the completion of the initial Business Combination; (ii) waive their redemption rights with respect to their founder shares and Public Shares in connection with a shareholder vote to approve an amendment to the Company’s Amended and Restated Memorandum and Articles of Association;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Combination within the Completion Window and to liquidating distributions from assets outside the Trust Account; and (iv) vote any founder shares held by them and any Public Shares purchased during or after the Initial Public Offering (including in open market and privately-negotiated transactions) in favor of the initial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income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are presented in conformity with accounting principles generally accepted in the United States of America (“U.S. GAAP”) and pursuant to the rules and regulations of the U.S. Securities and Exchange Commission (the “SEC”).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liquidity needs up to December 31, 2025 had been satisfied through the loan under an unsecured promissory note from the Sponsor of up to $500,000 (Note 5). As of December 31, 2025, the Company had no cash and had a working capital deficit of $254,601.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Company’s assessment of going concern in accordance with FASB ASC Topic 205-40, “Presentation of Financial Statements — Going Concern”, the Company has completed its Initial Public Offering on January 9, 2026, at which time the capital in excess of the funds deposited in Trust Account and/or used to fund offering costs and other expenses was released to the Company for general capital purposes. The Company does not believe it will need to raise additional funds in order to meet the expenditures required to operate its business. However, if the estimate of the costs of identifying a target business, undertaking in-depth due diligence and negotiating a Business Combination are less than the actual amount necessary to do so, the Company may have insufficient funds available to operate its business prior to the Initial Business Combination. The Company has the Completion Window to complete the initial Business Combination. Management has determined that upon the consummation of the Initial Public Offering and the sale of the Private Placement Warrants on January 9, 2026, the Company has sufficient funds to finance the working capital needs of the Company within one year from the date of issuance of the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short-term investments with an original maturity of three months or less when purchased to be cash equivalents. The Company had no cash and did not have any cash equivalents as of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Offering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the requirements of the FASB Topic ASC 340-10-S99 and SEC Staff Accounting Bulletin Topic 5A, “Expenses of Offering.” Deferred Offering costs consist principally of professional and registration fees that are related to the Initial Public Offering. FASB ASC Topic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warrants, prorate, allocating the Initial Public Offering proceeds to the assigned value of the warrants and to the Class A ordinary shares. On January 9, 2026, upon completion of the Initial Public Offering, offering costs allocated to the Public Shares are charged to temporary equity and offering costs allocated to the Public and Private Placement Warrants are charged to shareholder’s deficit as Public and Private Placement Warrants, after management’s evaluation, are accounted for under equity treatment.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balance sheet, primarily due to its short-term nature.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 Per Class B Ordinary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Class B ordinary share is computed by dividing net loss by the weighted average number of Class B ordinary shares outstanding during the period, excluding Class B ordinary shares subject to forfeiture. Weighted average shares were reduced for the effect of an aggregate of 1,250,000 ordinary shares that were subject to forfeiture if the over-allotment option was not exercised by the underwriters (see Note 5). As of December 31, 2025, the Company did not have any dilutive securities or other contracts that could, potentially, be exercised or converted into ordinary shares and then share in the earnings of the Company. As a result, diluted net loss per Class B ordinary share is the same as basic net loss per Class B ordinary share for the period presented.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under FASB ASC Topic 740, “Income Taxes,” which requires an asset and liability approach to financial accounting and reporting for income taxes. Deferred income tax assets and liabilities are computed for differences between the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Topic 740 prescribes a recognition threshold and a measurement attribute for the financial statements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2025, there were no unrecognized tax benefits and no amounts accrued for interest and penalties. The Company is currently not aware of any issues under review that could result in significant payments, accruals or material deviation from its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Derivative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its financial instruments to determine if such instruments are derivatives or contain features that qualify as embedded derivatives in accordance with FASB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 cash settlement or conversion of the instrument could be required within 12 months of the balance sheet date. The underwriters’ over-allotment option is deemed to be a freestanding financial instrument indexed on the contingently redeemable shares and will be accounted for as a liability pursuant to ASC 480 if not fully exercised at the time of the Initial Public Offering. On January 9, 2026, the underwriters exercised their over-allotment option in full in the amount of 3,750,000 Units as part of the closing of the Initial Public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the Public and Private Placement Warrants to be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 As of December 31, 2025, there were no Public Warrants and Private Placement Warrants issued or outstanding.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Payment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share awards in accordance with FASB ASC 718, “Compensation — Stock Compensation” (“FASB ASC 718”), which requires that all equity awards be accounted for at their “fair value.” Fair value is measured on the grant date and is equal to the underlying value of the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equal to these fair values are recognized ratably over the requisite service period based on the number of awards that are expected to vest, in the period of grant for awards that vest immediately and have no future service condition, or in the period the awards vest immediately after meeting a performance condition becomes probable (i.e., the occurrence of a Business Combination). For awards that vest over time, cumulative adjustments in later periods are recorded to the extent actual forfeitures differ from the Company’s initial estimates; previously recognized compensation cost is reversed if the service or performance conditions are not satisfied and the award is forfeited.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2023, the FASB issued Accounting Standards Update (“ASU”) 2023-07, “Segment Reporting (Topic 280): Improvements to Reportable Segment Disclosures”.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The Company adopted ASU 2023-07 on August 27, 2025, its date of incorporation.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does not believe that any other recently issued, but not effective, accounting standards, if currently adopted, would have a material effect on the Company’s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Initial Public Offering on January 9, 2026, the Company sold 28,750,000 Units, which includes the full exercise by the underwriters of their over-allotment option in the amount of 3,750,000 Units at a purchase price of $10.00 per Unit. Each Unit consists of one Class A ordinary share, and one-third of one redeemable warrant. Each whole warrant entitles the holder to purchase one Class A ordinary share at a price of $11.50 per share, subject to adjustment. Each warrant will become exercisable 30 days after the completion of the initial Business Combination and will expire five years after the completion of the initial Business Combination, or earlier upon redemption or liquidation.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INITIAL PUBLIC OFFERING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Warrants — </w:t>
      </w:r>
      <w:r>
        <w:rPr>
          <w:rFonts w:ascii="Times New Roman PS Std;serif" w:hAnsi="Times New Roman PS Std;serif"/>
          <w:b w:val="false"/>
          <w:i w:val="false"/>
          <w:caps w:val="false"/>
          <w:smallCaps w:val="false"/>
          <w:sz w:val="20"/>
        </w:rPr>
        <w:t>As of December 31, 2025, there were no Public Warrants and Private Placement Warrants issued or outstanding.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warrant agreement, the Company has agreed that, as soon as practicable, but in no event later than 20 business days, after the closing of its Business Combination, it will use its commercially reasonable efforts to file with the SEC a post-effective amendment to the registration statement for the Initial Public Offering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Company’s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shares under applicable blue sky laws to the extent an exemption is not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holders exercise their Public Warrants on a cashless basis, they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over the exercise price of the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of Warrants When the Price per Class A Ordinary Share Equals or Exceeds $18.00</w:t>
      </w:r>
      <w:r>
        <w:rPr>
          <w:rFonts w:ascii="Times New Roman PS Std;serif" w:hAnsi="Times New Roman PS Std;serif"/>
          <w:b w:val="false"/>
          <w:i w:val="false"/>
          <w:caps w:val="false"/>
          <w:smallCaps w:val="false"/>
          <w:sz w:val="20"/>
        </w:rPr>
        <w:t>: The Company may redeem the outstanding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warrant;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INITIAL PUBLIC OFFERING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a minimum of 30 days’ prior written notice of redemption (the “30-day redemption period”);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last reported sale price (the “closing price”) of the Class A ordinary shares equals or exceeds $18.00 per share (as adjusted for adjustments to the number of shares issuable upon exercise or the exercise price of a warrant) for any 20 trading days within a 30-trading day period commencing at least 30 days after completion of the initial Business Combination and ending on the third trading day prior to the date on which the Company sends the notice of redemption to the warrant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at a price of $1.00 per Private Placement Warrant, generating gross proceeds of $7,750,000. Of those 7,750,000 Private Placement Warrants, the Sponsor purchased 5,000,000 Private Placement Warrants, and the underwriters, CCM and CS, purchased 2,750,000 Private Placement Warrants, (or 2,612,500 and 137,500 Private Placement Warrants,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Private Placement Warrants are identical to the Public Warrants sold in the Initial Public Offering except that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(ii) will be entitled to registration rights and (iii) with respect to Private Placement Warrants held by the underwriters and/or their designees, will not be exercisable more than five years from the commencement of sales in the Initial Public Offering in accordance with Financial Industry Regulatory Authority (“FINRA”) Rule 5110(g)(8).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RELATED PARTY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22, 2025, the Sponsor made a capital contribution of $25,000, or approximately $0.003 per share, through payments of offering costs and expenses on the Company’s behalf, for which the Company issued 9,583,333 Class B ordinary shares, known as founder shares, to the Sponsor. Up to 1,250,000 of the founder shares may be surrendered by the Sponsor for no consideration depending on the extent to which the underwriters’ over-allotment is exercised. On January 9, 2026, the underwriters exercised their over-allotment option in full as part of the closing of the Initial Public Offering. As such, the 1,250,000 Founder Shares are no longer subject to forfeiture.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founder shares are designated as Class B ordinary shares and, except as described below, are identical to the Class A ordinary shares included in the Units sold in the Initial Public Offering, and holders of founder shares have the same shareholder rights as Public Shareholders, except that (i) the founder shares are subject to certain transfer restrictions, as described in more detail below, (ii) the founder shares are entitled to registration rights; (iii) the Sponsor and the Company’s officers and directors have entered into a letter agreement, pursuant to which they have agreed to (A) waive their redemption rights with respect to their founder shares and Public Shares in connection with the completion of the initial Business Combination, (B) waive their redemption rights with respect to their founder shares and Public Shares in connection with a shareholder vote to approve an amendment to the Amended and Restated Memorandum and Articles of Association prior to the consummation of the initial Business Combination (A) to modify the substance or timing of the obligation to allow redemption in connection with the initial Business Combination or to redeem 100% of the Public Shares if the Company has not consummated an initial Business Combination within the completion window or (B) with respect to any other material provisions relating to shareholders’ rights or pre-initial business combination activity, (C)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such time period and to liquidating distributions from assets outside the Trust Account and (D) vote any founder shares held by them and any Public Shares purchased during or after the Initial Public Offering (including in open market and privately negotiated transactions, aside from shares they may purchase in compliance with the requirements of Rule 14e-5 under the Exchange Act, which would not be voted in favor of approving the Business Combination transaction) in favor of the initial Business Combination, (iv) the founder shares are automatically convertible into Class A ordinary shares in connection with the consummation of the initial Business Combination or earlier at the option of the holder on a one-for-one basis, subject to adjustment as described herein and in the Company Amended and Restated Memorandum and Articles of Association, and (v) prior to, or in connection with, the closing of the initial Business Combination, only holders of the Class B ordinary shares will be entitled to vote on the appointment and removal of directors or continuing the Company in a jurisdiction outside the Cayman Islands (including any special resolution required to amend constitutional documents or to adopt new constitutional documents, in each case, as a result of the approving a transfer by way of continuation in a jurisdiction outside the Cayman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18, 2025, the Sponsor granted membership interests which equate to an aggregate of 300,000 founder shares to the Chief Operating Officer and membership interests which equate to 200,000 founder shares to the Chief Financial Officer. Also, On November 24, 2025, the Sponsor granted membership interests of an aggregate of 30,000 founder shares to the two independent directors (15,000 each). All membership interests were granted in exchange for their services as director and officers through the Company’s initial Business Combination. The membership interests shall return to the Sponsor if the director is no longer serving the Company on or prior to the initial Business Combination. The granting of the membership interests equating to founder shares to the two independent directors, to the Chief Operating Officer, and to the Chief Financial Officer is in the scope of FASB ASC Topic 718, “Compensation-Stock Compensation” (“ASC 718”). Under ASC 718, stock-based compensation associated with equity classified awards is measured at fair value upon the assignment date. The total fair value of the 30,000 membership interests issued to the two directors and 500,000 membership interests issued to the Chief Operating Officer and Chief Financial Officer on November 18, 2025 and November 24, 2025, was $1,562,530 or $2.948 and 2.951, respectively, per share. The Company established the initial fair value of the founder shares on November 18, 2025 and November 24, 2025, using a calculation prepared by a third party valuation team which takes into consideration the implied share price of $9.88 on both dates, risk-free rate of 3.94% and 3.95%, respectively, and remaining term of 0.14 and 0.12 years, respectively. The membership interests were assigned subject to a performance condition (i.e., providing services through Business Combination). Stock-based compensation would be recognized at the date a Business Combination is considered probable (i.e., upon consummation of a Business Combination) in an amount equal to the number of founder shares that ultimately vest times the assignment date fair value per share (unless subsequently modified) less the amount initially received for the transfer of founder shares. As of December 31, 2025, the Company determined that the initial Business Combination is not considered probable and therefore no compensation expense has been recognized.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Promissory Note — Related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to loan the Company an aggregate of up to $500,000 to be used for a portion of the expenses of the Initial Public Offering. The loan is non-interest bearing, unsecured and due at the earlier of June 30, 2026 or the closing of the Initial Public Offering. As of December 31, 2025, the Company borrowed a total of $248,013 under the promissory note. At the closing of the Initial Public Offering, on January 9, 2026, the Company paid the outstanding borrowings in full and borrowings under the promissory note are no longer available.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Service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agreed, upon the completion of the Initial Public Offering, to pay an affiliate of the Chief Operating Officer (“COO”) $18,000 per month, then upon the completion of initial Business Combination or liquidation, an amount equal to $600,000 less the total amount of all such monthly payments made up that time, for services as COO pursuant to an advisory agreement. Prior to initial Business Combination, no payments under this agreement shall be made from amounts held in the Trust Account. As of December 31, 2025, no amount has been accrued for these services in the Company’s balance sheet.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$2,000,000 of such Working Capital Loans may be convertible into Private Placement Warrants of the post Business Combination entity at a price of $1.00 per warrant at the option of the lender. As of December 31, 2025, no such Working Capital Loans were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and global markets are experiencing volatility and disruption following the geopolitical instability resulting from the ongoing Russia-Ukraine conflict and the Israel-Hamas conflict. 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and to Israel, increasing geopolitical tensions among a number of nations. The invasion of Ukraine by Russia and the Israel-Hamas conflict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 mentioned factors, or any other negative impact on the global economy, capital markets or other geopolitical conditions resulting from the Russian invasion of Ukraine, the Israel-Hamas conflict and subsequent sanctions or related actions, could adversely affect the Company’s search for an initial Business Combination and any target business with which the Company may ultimately consummate an initial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Founder Shares, Private Placement Warrants (and the Class A ordinary shares issuable upon exercise of the Private Placement Warrants) and Private Placement Warrants (and the Class A ordinary shares issuable upon exercise of the Private Placement Warrants) that may be issued upon conversion of Working Capital Loans, if any, and any Class A ordinary shares issuable upon conversion of the founder shares and any Class A ordinary shares held by the initial shareholders at the completion of the Initial Public Offering or acquired prior to or in connection with the initial Business Combination, will be entitled to registration rights pursuant to a registration rights agreement to be signed prior to or on the effective date of the registration statement for the Initial Public Offering. These holders will be entitled to make up to three demands excluding short form demands, and have piggyback registration rights. Notwithstanding anything to the contrary, the underwriters may only make a demand on one occasion and only during the five-year period beginning on the effective date of the Initial Public Offering. In addition, the underwriters may participate in a piggyback registration only during the seven-year period beginning on the effective date of the Initial Public Offering. The Company will bear the expenses incurred in connection with the filing of any such registration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Underwriting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have a 45-day option from the date of the Initial Public Offering to purchase up to an additional 3,750,000 Units to cover over-allotments, if any. On January 9, 2026, the underwriters elected to fully exercise their over-allotment option to purchase an additional 3,750,000 Units at a price of $10.00 per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were entitled to a cash underwriting discount of $5,000,000 (2.0% of the gross proceeds of the Units sold in the Initial Public Offering) which was paid at the closing of the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underwriters are entitled to a deferred underwriting discount of 4.00% of the gross proceeds of the Initial Public Offering held in the Trust Account, up to $12,250,000 in the aggregate upon the completion of the Company’s Initial Business Combination subject to the terms of the underwriting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SHAREHOLDER’S DEFICIT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Preference Shares</w:t>
      </w:r>
      <w:r>
        <w:rPr>
          <w:rFonts w:ascii="Times New Roman PS Std;serif" w:hAnsi="Times New Roman PS Std;serif"/>
          <w:b w:val="false"/>
          <w:i w:val="false"/>
          <w:caps w:val="false"/>
          <w:smallCaps w:val="false"/>
          <w:sz w:val="20"/>
        </w:rPr>
        <w:t> — The Company is authorized to issue a total of 5,000,000 preference shares at par value of $0.0001 each. As of December 31, 2025, there were no preference shares issued or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A Ordinary Shares </w:t>
      </w:r>
      <w:r>
        <w:rPr>
          <w:rFonts w:ascii="Times New Roman PS Std;serif" w:hAnsi="Times New Roman PS Std;serif"/>
          <w:b w:val="false"/>
          <w:i w:val="false"/>
          <w:caps w:val="false"/>
          <w:smallCaps w:val="false"/>
          <w:sz w:val="20"/>
        </w:rPr>
        <w:t>— The Company is authorized to issue a total of 500,000,000 Class A ordinary shares at par value of $0.0001 each. As of December 31, 2025, there were no Class A ordinary shares issued or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B Ordinary Shares </w:t>
      </w:r>
      <w:r>
        <w:rPr>
          <w:rFonts w:ascii="Times New Roman PS Std;serif" w:hAnsi="Times New Roman PS Std;serif"/>
          <w:b w:val="false"/>
          <w:i w:val="false"/>
          <w:caps w:val="false"/>
          <w:smallCaps w:val="false"/>
          <w:sz w:val="20"/>
        </w:rPr>
        <w:t>— The Company is authorized to issue a total of 50,000,000 Class B ordinary shares at par value of $0.0001 each. As of December 31, 2025, there were 9,583,333 Class B ordinary shares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founder shares will automatically convert into Class A ordinary shares in connection with the consummation of the initial Business Combination or earlier at the option of the holder on a one-for-one basis, subject to adjustment for share subdivisions, share capitalizations, reorganizations, recapitalizations and the like.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SHAREHOLDER’S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or deemed issuance) so that the number of Class A ordinary shares issuable upon conversion of all Class B ordinary shares will equal, in the aggregate, 25% of the sum of (i) all ordinary shares issued and outstanding upon the completion of the Initial Public Offering (including any Class A ordinary shares issued pursuant to the underwriters’ over-allotment option and excluding the Class A ordinary shares underlying the Private Placement Warrants issued to the Sponsor), plus (ii) all Class A ordinary shares and equity-linked securities issued or deemed issued in connection with the closing of the initial Business Combination (subject to certain exclusions described herein) minus (iii) any redemptions of Class A ordinary shares by Public Shareholders in connection with an initial Business Combination, and any shares or equity-linked securities issued, or to be issued, to any seller in the Business Combination and in connection with any amendment to the amended and restated memorandum and articles of association made prior to the consummation of the initial Business Combination (A) to modify the substance or timing of the Company’s obligation to allow redemption in connection with the initial Business Combination or to redeem 100% of its Public Shares if the Company does not complete its initial Business Combination within the completion window or (B) with respect to any other material provisions relating to the rights of holders of Class A ordinary shares or pre-business combination activity; provided that such conversion of founder shares will never occur on a less than one-for-one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of the Company’s Class A ordinary shares and Class B ordinary shares are entitled to one vote for each share held on all matters to be voted on by shareholders. Unless specified in the amended and restated memorandum and articles of association or as required by the Companies Act or stock exchange rules, an ordinary resolution under Cayman Islands law and the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and pursuant to the amended and restated memorandum and articles of association, such actions include amending the amended and restated memorandum and articles of association and approving a statutory merger or consolidation with another company. There is no cumulative voting with respect to the appointment of directors, meaning, following the initial Business Combination, the holders of more than 50% of the ordinary shares voted for the appointment of directors can elect all of the directors. Prior to, or in connection with, the closing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the Company approving a transfer by way of continuation in a jurisdiction outside the Cayman Islands). Holders of the Class A ordinary shares will not be entitled to vote on these matters during such time. These provisions of the amended and restated memorandum and articles of association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Topic 280, “Segment Reporting,”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or group, in deciding how to allocate resources and assess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CODM has been identified as the Chief Financial Officer, who reviews the operating results for the Company as a whole to make decisions about allocating resources and assessing financial performance. Accordingly, management has determined that the Company only has one reporting segment.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SEGMENT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assesses performance for the single segment and decides how to allocate resources based on net income or loss that also is reported on the statement of operations as net income or loss. The measure of segment assets is reported on the balance sheet as total assets. When evaluating the Company’s performance and making key decisions regarding resource allocation the CODM reviews several key metrics, which include the following:</w:t>
      </w:r>
    </w:p>
    <w:tbl>
      <w:tblPr>
        <w:tblW w:w="4123" w:type="dxa"/>
        <w:jc w:val="left"/>
        <w:tblInd w:w="0" w:type="dxa"/>
        <w:tblLayout w:type="fixed"/>
        <w:tblCellMar>
          <w:top w:w="0" w:type="dxa"/>
          <w:left w:w="0" w:type="dxa"/>
          <w:bottom w:w="0" w:type="dxa"/>
          <w:right w:w="0" w:type="dxa"/>
        </w:tblCellMar>
      </w:tblPr>
      <w:tblGrid>
        <w:gridCol w:w="2356"/>
        <w:gridCol w:w="146"/>
        <w:gridCol w:w="363"/>
        <w:gridCol w:w="1258"/>
      </w:tblGrid>
      <w:tr>
        <w:trPr/>
        <w:tc>
          <w:tcPr>
            <w:tcW w:w="23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217,025</w:t>
            </w:r>
          </w:p>
        </w:tc>
      </w:tr>
    </w:tbl>
    <w:tbl>
      <w:tblPr>
        <w:tblW w:w="6508" w:type="dxa"/>
        <w:jc w:val="left"/>
        <w:tblInd w:w="0" w:type="dxa"/>
        <w:tblLayout w:type="fixed"/>
        <w:tblCellMar>
          <w:top w:w="0" w:type="dxa"/>
          <w:left w:w="0" w:type="dxa"/>
          <w:bottom w:w="0" w:type="dxa"/>
          <w:right w:w="0" w:type="dxa"/>
        </w:tblCellMar>
      </w:tblPr>
      <w:tblGrid>
        <w:gridCol w:w="4501"/>
        <w:gridCol w:w="146"/>
        <w:gridCol w:w="460"/>
        <w:gridCol w:w="1401"/>
      </w:tblGrid>
      <w:tr>
        <w:trPr/>
        <w:tc>
          <w:tcPr>
            <w:tcW w:w="4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Period from</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August 27, 2025</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(Inception)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Through</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br/>
              <w:t>2025</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w:t>
            </w:r>
          </w:p>
        </w:tc>
        <w:tc>
          <w:tcPr>
            <w:tcW w:w="146"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 are reviewed and monitored by the CODM to manage and forecast cash to ensure enough capital is available to complete a Business Combination or similar transaction within the completion window. The CODM also reviews formation, general, and administrative expenses to manage, maintain and enforce all contractual agreements to ensure costs are aligned with all agreements and budget. Formation and general and administrative costs, as reported on the statement of operations, are the significant segment expenses provided to the CODM on a regular basis. All other segment items included in net income or loss are reported on the statement of operations and described within their respective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policies used to measure the profit and loss of the segment are the same as those described in the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and transactions that occurred after the balance sheet date through March 16, 2026, the date that the financial statements were issued. Based upon this review, other than as described below, the Company did not identify any subsequent events that would have required adjustment or disclosure in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statement for the Company’s Initial Public Offering was declared effective on January 7, 2026. On January 9, 2026, the Company consummated the Initial Public Offering of 28,750,000 Units, which includes the full exercise by the underwriters of their over-allotment option of 3,750,000 Units, at $10.00 per Unit, generating gross proceeds of $287,500,000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at a price of $1.00 per Private Placement Warrant, generating gross proceeds of $7,750,000.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Initial Public Offering, on January 9, 2026, an amount of $287,500,000 ($10.00 per Unit) from the net proceeds of the sale of the Units and the Private Placement Warrants was placed in the Trust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9, 2026, the Company fully settled the $256,872 outstanding balance of the promissory note. Borrowings under the promissory note are no longer available.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SUBSEQUENT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9, 2026, the underwriters were paid in cash an underwriting discount of $5,000,000 simultaneously with the closing of the Initial Public Offering. In addition, the underwriters are entitled to a deferred underwriting discount of $12,250,000 in the aggregate.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23, 2026, the Company announced that, commencing on January 28, 2026, the holders of the Units sold in the Initial Public Offering, may elect to separately trade the Class A ordinary shares and the Warrants included in the Units. No fractional Warrants will be issued upon separation of the Units and only whole Warrants will trade. Any Units not separated will continue to trade on the Nasdaq Global Market under the symbol “BBCQU.” The Class A ordinary shares and the Warrants are expected to trade on the Nasdaq Global Market under the symbols “BBCQ” and “BBCQW,” respectively. Holders of Units will need to have their brokers contact Continental Stock Transfer &amp; Trust Company, the Company’s transfer agent, in order to separate the Units into Class A ordinary Shares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the Company entered into an Agreement and Plan of Merger (as it may be amended, supplemented or otherwise modified from time to time in accordance with its terms, the “Business Combination Agreement”), with Bleichroeder Acquisition 2 France, a </w:t>
      </w:r>
      <w:r>
        <w:rPr>
          <w:rFonts w:ascii="Times New Roman PS Std;serif" w:hAnsi="Times New Roman PS Std;serif"/>
          <w:b w:val="false"/>
          <w:i/>
          <w:caps w:val="false"/>
          <w:smallCaps w:val="false"/>
          <w:sz w:val="20"/>
        </w:rPr>
        <w:t>société par actions simplifiée </w:t>
      </w:r>
      <w:r>
        <w:rPr>
          <w:rFonts w:ascii="Times New Roman PS Std;serif" w:hAnsi="Times New Roman PS Std;serif"/>
          <w:b w:val="false"/>
          <w:i w:val="false"/>
          <w:caps w:val="false"/>
          <w:smallCaps w:val="false"/>
          <w:sz w:val="20"/>
        </w:rPr>
        <w:t>formed under the laws of the Republic of France and wholly owned subsidiary of Bleichroeder, and Pasqal Holding SAS, a </w:t>
      </w:r>
      <w:r>
        <w:rPr>
          <w:rFonts w:ascii="Times New Roman PS Std;serif" w:hAnsi="Times New Roman PS Std;serif"/>
          <w:b w:val="false"/>
          <w:i/>
          <w:caps w:val="false"/>
          <w:smallCaps w:val="false"/>
          <w:sz w:val="20"/>
        </w:rPr>
        <w:t>société par actions simplifiée </w:t>
      </w:r>
      <w:r>
        <w:rPr>
          <w:rFonts w:ascii="Times New Roman PS Std;serif" w:hAnsi="Times New Roman PS Std;serif"/>
          <w:b w:val="false"/>
          <w:i w:val="false"/>
          <w:caps w:val="false"/>
          <w:smallCaps w:val="false"/>
          <w:sz w:val="20"/>
        </w:rPr>
        <w:t>formed under the laws of the Republic of 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 is expected to be funded by a combination of the Company’s Trust Account and expected proceeds from a public investment in private equity. The closing of the transaction is expected to occur in the second half of 2026 and is subject to customary closing conditions, including regulatory and shareholder approval.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11101"/>
      <w:bookmarkEnd w:id="34"/>
      <w:r>
        <w:rPr>
          <w:rFonts w:ascii="Times New Roman PS Std;serif" w:hAnsi="Times New Roman PS Std;serif"/>
          <w:b/>
          <w:i w:val="false"/>
          <w:caps w:val="false"/>
          <w:smallCaps w:val="false"/>
          <w:sz w:val="20"/>
        </w:rPr>
        <w:t xml:space="preserve">PASQAL HOLDING SAS </w:t>
        <w:br/>
        <w:t xml:space="preserve">CONDENSED CONSOLIDATED STATEMENTS OF FINANCIAL POSITION AT JUNE 30, 2026 AND DECEMBER 31, 2025 (UNAUDITED) </w:t>
      </w:r>
    </w:p>
    <w:tbl>
      <w:tblPr>
        <w:tblW w:w="8617" w:type="dxa"/>
        <w:jc w:val="left"/>
        <w:tblInd w:w="0" w:type="dxa"/>
        <w:tblLayout w:type="fixed"/>
        <w:tblCellMar>
          <w:top w:w="0" w:type="dxa"/>
          <w:left w:w="0" w:type="dxa"/>
          <w:bottom w:w="0" w:type="dxa"/>
          <w:right w:w="0" w:type="dxa"/>
        </w:tblCellMar>
      </w:tblPr>
      <w:tblGrid>
        <w:gridCol w:w="4531"/>
        <w:gridCol w:w="146"/>
        <w:gridCol w:w="676"/>
        <w:gridCol w:w="146"/>
        <w:gridCol w:w="1051"/>
        <w:gridCol w:w="241"/>
        <w:gridCol w:w="146"/>
        <w:gridCol w:w="1321"/>
        <w:gridCol w:w="359"/>
      </w:tblGrid>
      <w:tr>
        <w:trPr/>
        <w:tc>
          <w:tcPr>
            <w:tcW w:w="45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19,676</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17,451</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net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28,119</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8,978</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8,421</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1,198</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94,662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83,844</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net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11,309</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5,608</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8,181</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receivables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73,762</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140,175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103,980</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234,837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187,824</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capital</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premium</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211,131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70,158</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(124,889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(32,533</w:t>
            </w:r>
          </w:p>
        </w:tc>
        <w:tc>
          <w:tcPr>
            <w:tcW w:w="3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reserves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49,601</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period</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(92,355</w:t>
            </w:r>
          </w:p>
        </w:tc>
        <w:tc>
          <w:tcPr>
            <w:tcW w:w="3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129,070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(4,415</w:t>
            </w:r>
          </w:p>
        </w:tc>
        <w:tc>
          <w:tcPr>
            <w:tcW w:w="359"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7,640</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liabilities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11,051</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42,719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38,168</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9,556</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22,977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7,409</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8,084</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154,070</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 and liabilities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234,837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187,824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11102"/>
      <w:bookmarkEnd w:id="35"/>
      <w:r>
        <w:rPr>
          <w:rFonts w:ascii="Times New Roman PS Std;serif" w:hAnsi="Times New Roman PS Std;serif"/>
          <w:b/>
          <w:i w:val="false"/>
          <w:caps w:val="false"/>
          <w:smallCaps w:val="false"/>
          <w:sz w:val="20"/>
        </w:rPr>
        <w:t xml:space="preserve">PASQAL HOLDING SAS </w:t>
        <w:br/>
        <w:t xml:space="preserve">CONDENSED CONSOLIDATED STATEMENTS OF PROFIT OR LOSS AND OTHER COMPREHENSIVE INCOME FOR THE SIX MONTHS ENDED JUNE 30, 2026 AND 2025 (UNAUDITED) </w:t>
      </w:r>
    </w:p>
    <w:tbl>
      <w:tblPr>
        <w:tblW w:w="8769" w:type="dxa"/>
        <w:jc w:val="left"/>
        <w:tblInd w:w="0" w:type="dxa"/>
        <w:tblLayout w:type="fixed"/>
        <w:tblCellMar>
          <w:top w:w="0" w:type="dxa"/>
          <w:left w:w="0" w:type="dxa"/>
          <w:bottom w:w="0" w:type="dxa"/>
          <w:right w:w="0" w:type="dxa"/>
        </w:tblCellMar>
      </w:tblPr>
      <w:tblGrid>
        <w:gridCol w:w="5086"/>
        <w:gridCol w:w="146"/>
        <w:gridCol w:w="676"/>
        <w:gridCol w:w="146"/>
        <w:gridCol w:w="1006"/>
        <w:gridCol w:w="256"/>
        <w:gridCol w:w="146"/>
        <w:gridCol w:w="1006"/>
        <w:gridCol w:w="301"/>
      </w:tblGrid>
      <w:tr>
        <w:trPr/>
        <w:tc>
          <w:tcPr>
            <w:tcW w:w="50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Six-month period ended</w:t>
            </w:r>
          </w:p>
        </w:tc>
      </w:tr>
      <w:tr>
        <w:trPr/>
        <w:tc>
          <w:tcPr>
            <w:tcW w:w="50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(19,553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(59,161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(19,773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tax</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(53,216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(26,150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period</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(26,118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792"/>
        <w:gridCol w:w="146"/>
        <w:gridCol w:w="406"/>
        <w:gridCol w:w="146"/>
        <w:gridCol w:w="1006"/>
        <w:gridCol w:w="256"/>
        <w:gridCol w:w="146"/>
        <w:gridCol w:w="1006"/>
        <w:gridCol w:w="301"/>
      </w:tblGrid>
      <w:tr>
        <w:trPr/>
        <w:tc>
          <w:tcPr>
            <w:tcW w:w="67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 comprehensive loss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r>
      <w:tr>
        <w:trPr/>
        <w:tc>
          <w:tcPr>
            <w:tcW w:w="67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 xml:space="preserve">Items that may be reclassified to profit or loss in subsequent </w:t>
              <w:br/>
              <w:t>periods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7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Items that will not be reclassified to profit or loss/income in subsequent periods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of defined benefit plans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impact</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(loss)/income for the period, net of tax</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 for the period</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(53,558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(26,094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7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7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per share</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7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losses per share</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losses per share</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703"/>
      <w:bookmarkEnd w:id="36"/>
      <w:r>
        <w:rPr>
          <w:rFonts w:ascii="Times New Roman PS Std;serif" w:hAnsi="Times New Roman PS Std;serif"/>
          <w:b/>
          <w:i w:val="false"/>
          <w:caps w:val="false"/>
          <w:smallCaps w:val="false"/>
          <w:sz w:val="20"/>
        </w:rPr>
        <w:t xml:space="preserve">PASQAL HOLDING SAS </w:t>
        <w:br/>
        <w:t xml:space="preserve">CONDENSED CONSOLIDATED STATEMENTS OF CHANGES IN EQUITY AT JUNE 30, 2026 AND DECEMBER 31, 2025 (UNAUDITED) </w:t>
      </w:r>
    </w:p>
    <w:tbl>
      <w:tblPr>
        <w:tblW w:w="13018" w:type="dxa"/>
        <w:jc w:val="left"/>
        <w:tblInd w:w="0" w:type="dxa"/>
        <w:tblLayout w:type="fixed"/>
        <w:tblCellMar>
          <w:top w:w="0" w:type="dxa"/>
          <w:left w:w="0" w:type="dxa"/>
          <w:bottom w:w="0" w:type="dxa"/>
          <w:right w:w="0" w:type="dxa"/>
        </w:tblCellMar>
      </w:tblPr>
      <w:tblGrid>
        <w:gridCol w:w="1391"/>
        <w:gridCol w:w="146"/>
        <w:gridCol w:w="796"/>
        <w:gridCol w:w="146"/>
        <w:gridCol w:w="946"/>
        <w:gridCol w:w="241"/>
        <w:gridCol w:w="146"/>
        <w:gridCol w:w="976"/>
        <w:gridCol w:w="146"/>
        <w:gridCol w:w="1117"/>
        <w:gridCol w:w="264"/>
        <w:gridCol w:w="146"/>
        <w:gridCol w:w="826"/>
        <w:gridCol w:w="206"/>
        <w:gridCol w:w="146"/>
        <w:gridCol w:w="1124"/>
        <w:gridCol w:w="452"/>
        <w:gridCol w:w="146"/>
        <w:gridCol w:w="901"/>
        <w:gridCol w:w="241"/>
        <w:gridCol w:w="146"/>
        <w:gridCol w:w="991"/>
        <w:gridCol w:w="146"/>
        <w:gridCol w:w="946"/>
        <w:gridCol w:w="286"/>
      </w:tblGrid>
      <w:tr>
        <w:trPr/>
        <w:tc>
          <w:tcPr>
            <w:tcW w:w="1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 € thousand</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Share </w:t>
              <w:br/>
              <w:t>capital</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Share </w:t>
              <w:br/>
              <w:t>premium</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Treasury </w:t>
              <w:br/>
              <w:t>shares</w:t>
            </w:r>
          </w:p>
        </w:tc>
        <w:tc>
          <w:tcPr>
            <w:tcW w:w="146"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deficit</w:t>
            </w:r>
          </w:p>
        </w:tc>
        <w:tc>
          <w:tcPr>
            <w:tcW w:w="146"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reserves</w:t>
            </w:r>
          </w:p>
        </w:tc>
        <w:tc>
          <w:tcPr>
            <w:tcW w:w="146" w:type="dxa"/>
            <w:tcBorders/>
            <w:vAlign w:val="bottom"/>
          </w:tcPr>
          <w:p>
            <w:pPr>
              <w:pStyle w:val="TableContents"/>
              <w:bidi w:val="0"/>
              <w:spacing w:before="0" w:after="283"/>
              <w:jc w:val="left"/>
              <w:rPr/>
            </w:pPr>
            <w:r>
              <w:rPr/>
              <w:t> </w:t>
            </w:r>
          </w:p>
        </w:tc>
        <w:tc>
          <w:tcPr>
            <w:tcW w:w="15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 xml:space="preserve">comprehensive </w:t>
              <w:br/>
              <w:t>income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Loss </w:t>
              <w:br/>
              <w:t xml:space="preserve">of the </w:t>
              <w:br/>
              <w:t>period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Minority </w:t>
              <w:br/>
              <w:t>interests</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equity</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at January 1, 2025</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692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131,114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(75,811</w:t>
            </w:r>
          </w:p>
        </w:tc>
        <w:tc>
          <w:tcPr>
            <w:tcW w:w="2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25,269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(94</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(48,498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32,673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Allocation of profit/loss</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(48,498</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48,498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Loss for the period</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(26,118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(26,118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Variation in translation reserves</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left"/>
              <w:rPr/>
            </w:pPr>
            <w:r>
              <w:rPr/>
              <w:t> </w:t>
            </w:r>
          </w:p>
        </w:tc>
        <w:tc>
          <w:tcPr>
            <w:tcW w:w="26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Remeasurement of defined benefit plans, net of tax</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comprehensive loss for the period</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24</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(26,118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(26,094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Equity-settled share-based payments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variations</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(91,776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91,776</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(391</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transactions with owners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(91,776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91,776</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at June 30, 2025</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692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39,339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(32,533</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25,438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(70</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(26,118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6,747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at December 31, 2025</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715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70,158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(32,533</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49,584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(92,355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(4,415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Allocation of profit/loss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(92,355</w:t>
            </w:r>
          </w:p>
        </w:tc>
        <w:tc>
          <w:tcPr>
            <w:tcW w:w="2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92,355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Loss for the period</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(53,236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(53,236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Variation in translation reserves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(311</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(311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Remeasurement of defined benefit plans, net of tax</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comprehensive loss for the period</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(322</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(53,236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(53,558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Issue of share capital</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140,973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22,583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163,709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Equity-settled share-based payments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23,334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23,334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variations</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transactions with owners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140,973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45,916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187,043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at June 30, 2026</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868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211,131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(124,889</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95,500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(305</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(53,236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129,070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704"/>
      <w:bookmarkEnd w:id="37"/>
      <w:r>
        <w:rPr>
          <w:rFonts w:ascii="Times New Roman PS Std;serif" w:hAnsi="Times New Roman PS Std;serif"/>
          <w:b/>
          <w:i w:val="false"/>
          <w:caps w:val="false"/>
          <w:smallCaps w:val="false"/>
          <w:sz w:val="20"/>
        </w:rPr>
        <w:t xml:space="preserve">PASQAL HOLDING SAS </w:t>
        <w:br/>
        <w:t xml:space="preserve">CONDENSED CONSOLIDATED STATEMENTS OF CASH FLOWS FOR THE SIX MONTHS ENDED JUNE 30, 2026 AND 2025 (UNAUDITED) </w:t>
      </w:r>
    </w:p>
    <w:tbl>
      <w:tblPr>
        <w:tblW w:w="10205" w:type="dxa"/>
        <w:jc w:val="left"/>
        <w:tblInd w:w="0" w:type="dxa"/>
        <w:tblLayout w:type="fixed"/>
        <w:tblCellMar>
          <w:top w:w="0" w:type="dxa"/>
          <w:left w:w="0" w:type="dxa"/>
          <w:bottom w:w="0" w:type="dxa"/>
          <w:right w:w="0" w:type="dxa"/>
        </w:tblCellMar>
      </w:tblPr>
      <w:tblGrid>
        <w:gridCol w:w="6477"/>
        <w:gridCol w:w="146"/>
        <w:gridCol w:w="676"/>
        <w:gridCol w:w="146"/>
        <w:gridCol w:w="1051"/>
        <w:gridCol w:w="256"/>
        <w:gridCol w:w="146"/>
        <w:gridCol w:w="1006"/>
        <w:gridCol w:w="301"/>
      </w:tblGrid>
      <w:tr>
        <w:trPr/>
        <w:tc>
          <w:tcPr>
            <w:tcW w:w="647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Six-month period ended</w:t>
            </w:r>
          </w:p>
        </w:tc>
      </w:tr>
      <w:tr>
        <w:trPr/>
        <w:tc>
          <w:tcPr>
            <w:tcW w:w="64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OPERATING ACTIVITIES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used in operations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(25,194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(19,956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used in operating activities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(25,194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(19,956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INVESTING ACTIVITIES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property, plant and equipment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intangible assets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intangible asset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Receipt of government grants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deposits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subsidiary</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used in investing activities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(4,970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7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FROM FINANCING ACTIVITIES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borrowings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43,518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borrowings and lease liabilities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capital increases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68,480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67,251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41,523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 in cash and cash equivalents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37,087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18,422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the beginning of the six-month period</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Effects of exchange rate changes on cash and cash equivalents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the end of the six-month period</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110,835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25,524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705"/>
      <w:bookmarkEnd w:id="38"/>
      <w:r>
        <w:rPr>
          <w:rFonts w:ascii="Times New Roman PS Std;serif" w:hAnsi="Times New Roman PS Std;serif"/>
          <w:b/>
          <w:i w:val="false"/>
          <w:caps w:val="false"/>
          <w:smallCaps w:val="false"/>
          <w:sz w:val="20"/>
        </w:rPr>
        <w:t xml:space="preserve">PASQAL HOLDING SAS </w:t>
        <w:br/>
        <w:t>NOTES TO CONDENSED CONSOLIDATED FINANCIAL STATEMENTS</w:t>
        <w:br/>
        <w:t>JUNE 30, 2026</w:t>
        <w:br/>
        <w:t xml:space="preserve">(UNAUDITED)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Corporate information and 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Holding SAS (“the Company” or “the parent”) is a simplified corporation incorporated in France under French law. It was created in February 2026 as part of a group reorganization and is registered with the Evry Trade and Companies Register under number 101 390 649. The registered office is located at 24 Rue Emile Baudot, 91120 Palaiseau, France. The Company became the parent company of Pasqal SAS as part of the Group reorganization described in Note 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principally engaged in the development and commercialization of quantum computers based on neutral atoms arranged in 2D and 3D lattices, providing useful quantum advantages to its customers to solve real-world problems.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Key events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Pasqal Holding SAS entered into an agreement and plan of merger (as amended, the “Business Combination Agreement”) with Bleichroeder Acquisition Corp. II (“Bleichroeder”) and Bleichroeder Acquisition France Merger Sub 2 (“Merger Sub”) which, among other things and subject to the terms and conditions contained therein, provided for (a) the merger of Bleichroeder with and into Merger Sub (the “Reincorporation Merger”), with Merger Sub continuing as the surviving company (the “Bleichroeder Surviving Corporation”), and (b) the merger of Pasqal Holding SAS with and into Bleichroeder Surviving Corporation by way of a merger by absorption, with the Bleichroeder Surviving Corporation continuing as the surviving company and changing its name to Pasqal Holding SA (the “Merger”, and together with the Reincorporation Merger, the “Business Combination”). As of June 30, 2026, the proposed Business Combination had not been completed and remained subject to customary closing conditions, including the effectiveness of the registration statement filed with the U.S. Securities and Exchange Commission (“SEC”), shareholder approvals and other conditions set forth in the Business Combination Agreement. The Business Combination was completed on August 27, 2026 (the “Closing”), resulting in the creation of Pasqal Holding SA (“New Pasqal”). See Note 20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Group reorganization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half of 2026, the Group implemented a legal reorganization in connection with its anticipated Business Combination. As part of this reorganization, Pasqal Holding SAS was established as the new parent company of the Group. During the first half of 2026, the shareholders of Pasqal SAS contributed their shares in Pasqal SAS to Pasqal Holding SAS in exchange for shares of Pasqal Holding SAS. The transaction was treated as a capital reorganization with no impact on the carrying values of assets and liabilities or total consolidated equity. All per share data were retroactively adjusted.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continuation of the capital increase program initiated in December 2025, the Group proceeded with additional subscriptions of Series C Shares during January and February 2026. A total of 499,769 Series C Shares were issued over this period, generating proceeds of €69,738 thousand.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Following these Series C issuances, and upon completion of the Qualified Equity Financing as contractually defined in the redeemable bonds (“ORAs”) agreements, the ORAs were automatically redeemed in Series C Shares on March 2, 2026. As a result of this redemption, a total of 682,448 Series C Shares were issued to ORA holders on March 2, 2026. The ORAs were derecognized upon conversion into equity instruments, with the corresponding amount reclassified from financial liabilities to equity. See Notes 8 and 9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Key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March 4, 2026, in connection with the planned Business Combination, Bleichroeder and Merger Sub entered into a securities purchase agreement, as amended on May 23, 2026 (the “Pre-PIPE Securities Purchase Agreement”), with certain investors providing for the issuance of $312.5 million aggregate principal amount of senior unsecured bonds convertible into New Pasqal ordinary shares (the “Convertible Bonds”) and receive warrants to subscribe for a number of New Pasqal ordinary shares equal to 125% of the total number of New Pasqal ordinary shares into which the Convertible Bonds are initially convertible at closing date, at an initial exercise price of $12.00 per share subject to certain adjustments as set forth therein (the “Warrants”), for an aggregate purchase price of $250.0 million, reflecting a 20% original issue discount (the “March 2026 Financing” or “Pre-PIPE”). The Convertible Bonds bear interest at a rate of either 10% per annum payable in cash semi-annually however, if a payment in cash has not been made on a semi-annual payment date, payment on the next semi-annual Payment Date shall be in PIK at a rate of 12% per annum in payment-in-kind and are convertible at the option of the holder. Concurrently with the Closing on August 27, 2026, the Group consummated the March 2026 Financing. See Note 20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Basis of preparation of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Statement of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half-year condensed consolidated financial statements for the six-month period ended June 30, 2026 have been prepared in accordance with IAS 34 (Interim Financial Reporting) as issued by the International Accounting Standards Board (IASB).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half-year condensed consolidated financial statements do not include all the information and disclosures required in the annual consolidated financial statements. The accompanying notes therefore relate to significant events and transactions of the period, and should be read in conjunction with the annual consolidated financial statements and related notes for the year ended December 31, 2025, included in the Company’s registration statement on Form 20-F.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policies adopted are consistent with those of the previous financial year and corresponding interim reporting period, except for the adoption of new and amended IFRS Accounting Standards as set out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Amendments to the Classification and Measurement of Financial Instruments (Amendments to IFRS 9 and IFRS 7) (issued on 30 May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Contracts Referencing Nature-dependent Electricity Amendments to IFRS 9 and IFRS 7 (issued on 18 December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these amendments did not have a material impact on the Group’s half-year condensed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IFRS 18 — Presentation and Disclosure in Financial Statements, and the amendments to the other standards, is effective for reporting periods beginning on or after 1 January 2027, but earlier application is permitted and must be disclosed. IFRS 18 will apply retrospectively. The Group does not intend to early adopt IFRS 18 and is currently working to identify all impacts the amendments will have on the primary financial statements and notes to the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 Authorization for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half-year condensed consolidated financial statements were authorized for issue by the Group’s Board of Directors on September 23,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Basis of preparation of the consolidated financial statements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 Judgments and 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accounting estimates, assumptions and judgments applied in preparing these half-year condensed consolidated financial statements are consistent with those followed in the preparation of the Group’s consolidated annual financial statements for the year ended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Liquidity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exposed to liquidity risk, i.e., the risk that it may be unable to meet its financial obligations as they fall due, taking into account the financing requirements associated with the development of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Group’s net liquidity position as of June 30, 2026:</w:t>
      </w:r>
    </w:p>
    <w:tbl>
      <w:tblPr>
        <w:tblW w:w="8546" w:type="dxa"/>
        <w:jc w:val="left"/>
        <w:tblInd w:w="0" w:type="dxa"/>
        <w:tblLayout w:type="fixed"/>
        <w:tblCellMar>
          <w:top w:w="0" w:type="dxa"/>
          <w:left w:w="0" w:type="dxa"/>
          <w:bottom w:w="0" w:type="dxa"/>
          <w:right w:w="0" w:type="dxa"/>
        </w:tblCellMar>
      </w:tblPr>
      <w:tblGrid>
        <w:gridCol w:w="5326"/>
        <w:gridCol w:w="146"/>
        <w:gridCol w:w="1051"/>
        <w:gridCol w:w="256"/>
        <w:gridCol w:w="146"/>
        <w:gridCol w:w="1251"/>
        <w:gridCol w:w="370"/>
      </w:tblGrid>
      <w:tr>
        <w:trPr/>
        <w:tc>
          <w:tcPr>
            <w:tcW w:w="5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53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Cash and cash equivalent(1)</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110,835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borrowings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w:t>
            </w:r>
          </w:p>
        </w:tc>
        <w:tc>
          <w:tcPr>
            <w:tcW w:w="37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which ORA</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(102,278</w:t>
            </w:r>
          </w:p>
        </w:tc>
        <w:tc>
          <w:tcPr>
            <w:tcW w:w="3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Current borrowings excluding ORA(2)</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(2,854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(2,886</w:t>
            </w:r>
          </w:p>
        </w:tc>
        <w:tc>
          <w:tcPr>
            <w:tcW w:w="37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(13,911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(9,556</w:t>
            </w:r>
          </w:p>
        </w:tc>
        <w:tc>
          <w:tcPr>
            <w:tcW w:w="3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(10,237</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(8,084</w:t>
            </w:r>
          </w:p>
        </w:tc>
        <w:tc>
          <w:tcPr>
            <w:tcW w:w="37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 payables and other current liabilities (C)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(24,149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(17,641</w:t>
            </w:r>
          </w:p>
        </w:tc>
        <w:tc>
          <w:tcPr>
            <w:tcW w:w="3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Net liquidity position (A) </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(B) – (C)</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83,832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53,235</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t>
      </w:r>
      <w:r>
        <w:rPr>
          <w:rFonts w:ascii="Times New Roman PS Std;serif" w:hAnsi="Times New Roman PS Std;serif"/>
          <w:b w:val="false"/>
          <w:i/>
          <w:caps w:val="false"/>
          <w:smallCaps w:val="false"/>
          <w:sz w:val="18"/>
        </w:rPr>
        <w:t>Cash includes amounts received under the Korean grant agreement and IFA loan, with balances amounting to €2,716 thousand and €4,637 thousand, respectively, as of June 30, 2026. See Note 7.2 for further disclosures.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t>
      </w:r>
      <w:r>
        <w:rPr>
          <w:rFonts w:ascii="Times New Roman PS Std;serif" w:hAnsi="Times New Roman PS Std;serif"/>
          <w:b w:val="false"/>
          <w:i/>
          <w:caps w:val="false"/>
          <w:smallCaps w:val="false"/>
          <w:sz w:val="18"/>
        </w:rPr>
        <w:t>As of December 31, 2025, the ORAs were excluded from the calculation of the net liquidity position as they were redeemable in ordinary shares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as of June 30, 2026, have been prepared on a going concern basis. In assessing the Group’s ability to continue as a going concern for at least twelve months from the reporting date, management considered the Group’s cash position, projected operating results and cash flows, expected working capital requirements, planned capital expenditures, and the availability of additional sources of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Group had cash and cash equivalents of €110,835 thousand. In addition, on March 4, 2026 the Group entered into the Pre-PIPE Securities Purchase Agreement for the purchase of Convertible Bonds and Warrants with certain investors for an aggregate purchase price of $250,000 thousand, reflecting a 20% original issue discount. The Pre-PIPE was consummated concurrently with the Closing. See Notes 2 and 20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believes that its cash and cash equivalents as of June 30, 2026 will be sufficient to meet its working capital and capital expenditure needs for the next twelve months from the reporting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above, management concluded that the going concern basis of accounting remains appropriate as of June 30,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Chief Executive Officer (CEO) is the Chief Operating Decision Maker (CODM). The CODM allocates resources and assesses performance at consolidated level using aggregated information based on the Group’s profit or loss.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Segment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in a single operating segment which is the development and implementation of quantum computing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13 for further disclosure on revenue-related segment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Non-current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 Goodwill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amounted to €19,643 thousand as of June 30, 2026 and to €19,676 thousand as of December 31, 2025, respectively. The movement during the period was due to the impact of changes in exchange rates.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Group did not identify any indication of impairment.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 Other intangible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4171"/>
        <w:gridCol w:w="146"/>
        <w:gridCol w:w="1183"/>
        <w:gridCol w:w="348"/>
        <w:gridCol w:w="146"/>
        <w:gridCol w:w="1161"/>
        <w:gridCol w:w="325"/>
        <w:gridCol w:w="146"/>
        <w:gridCol w:w="929"/>
        <w:gridCol w:w="287"/>
        <w:gridCol w:w="146"/>
        <w:gridCol w:w="916"/>
        <w:gridCol w:w="301"/>
      </w:tblGrid>
      <w:tr>
        <w:trPr/>
        <w:tc>
          <w:tcPr>
            <w:tcW w:w="41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Development</w:t>
              <w:br/>
              <w:t>costs</w:t>
            </w:r>
          </w:p>
        </w:tc>
        <w:tc>
          <w:tcPr>
            <w:tcW w:w="146" w:type="dxa"/>
            <w:tcBorders/>
            <w:vAlign w:val="bottom"/>
          </w:tcPr>
          <w:p>
            <w:pPr>
              <w:pStyle w:val="TableContents"/>
              <w:bidi w:val="0"/>
              <w:spacing w:before="0" w:after="283"/>
              <w:jc w:val="left"/>
              <w:rPr/>
            </w:pPr>
            <w:r>
              <w:rPr/>
              <w:t> </w:t>
            </w:r>
          </w:p>
        </w:tc>
        <w:tc>
          <w:tcPr>
            <w:tcW w:w="14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Concessions,</w:t>
              <w:br/>
              <w:t>patents,</w:t>
              <w:br/>
              <w:t>licenses</w:t>
              <w:br/>
              <w:t>and similar</w:t>
              <w:br/>
              <w:t>assets</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Intangible</w:t>
              <w:br/>
              <w:t>assets in</w:t>
              <w:br/>
              <w:t>progress</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intangible assets at January 1, 2026</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1,765</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14,396</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6,305</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22,467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3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3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Gross intangible assets at June 30,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1,969</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14,374</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8,348</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24,692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left"/>
              <w:rPr/>
            </w:pPr>
            <w:r>
              <w:rPr/>
              <w:t> </w:t>
            </w:r>
          </w:p>
        </w:tc>
        <w:tc>
          <w:tcPr>
            <w:tcW w:w="348"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January 1, 2026</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(1,495</w:t>
            </w:r>
          </w:p>
        </w:tc>
        <w:tc>
          <w:tcPr>
            <w:tcW w:w="3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(3,520</w:t>
            </w:r>
          </w:p>
        </w:tc>
        <w:tc>
          <w:tcPr>
            <w:tcW w:w="3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(5,016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3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w:t>
            </w:r>
          </w:p>
        </w:tc>
        <w:tc>
          <w:tcPr>
            <w:tcW w:w="3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3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June 30, 2026</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(1,634</w:t>
            </w:r>
          </w:p>
        </w:tc>
        <w:tc>
          <w:tcPr>
            <w:tcW w:w="3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(4,199</w:t>
            </w:r>
          </w:p>
        </w:tc>
        <w:tc>
          <w:tcPr>
            <w:tcW w:w="3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(5,834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left"/>
              <w:rPr/>
            </w:pPr>
            <w:r>
              <w:rPr/>
              <w:t> </w:t>
            </w:r>
          </w:p>
        </w:tc>
        <w:tc>
          <w:tcPr>
            <w:tcW w:w="348"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Net intangible assets at January 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270</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10,876</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6,305</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17,451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3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w:t>
            </w:r>
          </w:p>
        </w:tc>
        <w:tc>
          <w:tcPr>
            <w:tcW w:w="3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3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intangible assets at June 30, 2026</w:t>
            </w:r>
          </w:p>
        </w:tc>
        <w:tc>
          <w:tcPr>
            <w:tcW w:w="146" w:type="dxa"/>
            <w:tcBorders/>
            <w:shd w:fill="CCEEFF" w:val="clear"/>
            <w:vAlign w:val="bottom"/>
          </w:tcPr>
          <w:p>
            <w:pPr>
              <w:pStyle w:val="TableContents"/>
              <w:bidi w:val="0"/>
              <w:spacing w:before="0" w:after="283"/>
              <w:jc w:val="left"/>
              <w:rPr/>
            </w:pPr>
            <w:r>
              <w:rPr/>
              <w:t> </w:t>
            </w:r>
          </w:p>
        </w:tc>
        <w:tc>
          <w:tcPr>
            <w:tcW w:w="118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335</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10,175</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8,348</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18,858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intangible assets under development as at June 30, 2026 primarily reflects development expenditures incurred by Pasqal SAS and Aeponyx that meet the capitalization criteria. Non-capitalized research and development costs amounted to €4,189 thousand and €4,030 thousand for the periods ended June 30, 2026 and June 30, 2025,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indications of impairment of intangible assets as at June 30,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 Property, plant &amp; equipment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972" w:type="dxa"/>
        <w:jc w:val="left"/>
        <w:tblInd w:w="0" w:type="dxa"/>
        <w:tblLayout w:type="fixed"/>
        <w:tblCellMar>
          <w:top w:w="0" w:type="dxa"/>
          <w:left w:w="0" w:type="dxa"/>
          <w:bottom w:w="0" w:type="dxa"/>
          <w:right w:w="0" w:type="dxa"/>
        </w:tblCellMar>
      </w:tblPr>
      <w:tblGrid>
        <w:gridCol w:w="1511"/>
        <w:gridCol w:w="146"/>
        <w:gridCol w:w="1009"/>
        <w:gridCol w:w="282"/>
        <w:gridCol w:w="146"/>
        <w:gridCol w:w="916"/>
        <w:gridCol w:w="256"/>
        <w:gridCol w:w="146"/>
        <w:gridCol w:w="735"/>
        <w:gridCol w:w="286"/>
        <w:gridCol w:w="146"/>
        <w:gridCol w:w="791"/>
        <w:gridCol w:w="500"/>
        <w:gridCol w:w="146"/>
        <w:gridCol w:w="871"/>
        <w:gridCol w:w="420"/>
        <w:gridCol w:w="146"/>
        <w:gridCol w:w="814"/>
        <w:gridCol w:w="252"/>
        <w:gridCol w:w="146"/>
        <w:gridCol w:w="1006"/>
        <w:gridCol w:w="301"/>
      </w:tblGrid>
      <w:tr>
        <w:trPr/>
        <w:tc>
          <w:tcPr>
            <w:tcW w:w="15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Plant,</w:t>
              <w:br/>
              <w:t>equipment</w:t>
              <w:br/>
              <w:t>and</w:t>
              <w:br/>
              <w:t>machinery</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Fixtures</w:t>
              <w:br/>
              <w:t>and</w:t>
              <w:br/>
              <w:t>fittings</w:t>
            </w:r>
          </w:p>
        </w:tc>
        <w:tc>
          <w:tcPr>
            <w:tcW w:w="146"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Office</w:t>
              <w:br/>
              <w:t>supplies</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Transport</w:t>
              <w:br/>
              <w:t>equipment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Hardware</w:t>
              <w:br/>
              <w:t>equipment</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Tangible</w:t>
              <w:br/>
              <w:t>assets in</w:t>
              <w:br/>
              <w:t>progress</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Gross property, plant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equipment at January 1, 2026</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14,366</w:t>
            </w:r>
          </w:p>
        </w:tc>
        <w:tc>
          <w:tcPr>
            <w:tcW w:w="2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5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3,598</w:t>
            </w:r>
          </w:p>
        </w:tc>
        <w:tc>
          <w:tcPr>
            <w:tcW w:w="4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1,069</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38,681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w:t>
            </w:r>
          </w:p>
        </w:tc>
        <w:tc>
          <w:tcPr>
            <w:tcW w:w="2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4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2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4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2,995</w:t>
            </w:r>
          </w:p>
        </w:tc>
        <w:tc>
          <w:tcPr>
            <w:tcW w:w="4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2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Gross property, plant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equipment at June 30, 2026</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15,070</w:t>
            </w:r>
          </w:p>
        </w:tc>
        <w:tc>
          <w:tcPr>
            <w:tcW w:w="2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18,869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5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6,757</w:t>
            </w:r>
          </w:p>
        </w:tc>
        <w:tc>
          <w:tcPr>
            <w:tcW w:w="4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2,327</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43,778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left"/>
              <w:rPr/>
            </w:pPr>
            <w:r>
              <w:rPr/>
              <w:t> </w:t>
            </w:r>
          </w:p>
        </w:tc>
        <w:tc>
          <w:tcPr>
            <w:tcW w:w="500"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420"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Amortization and depreciation of property, plant,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equipment at January 1, 2026</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(4,670</w:t>
            </w:r>
          </w:p>
        </w:tc>
        <w:tc>
          <w:tcPr>
            <w:tcW w:w="2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(2,722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5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(3,008</w:t>
            </w:r>
          </w:p>
        </w:tc>
        <w:tc>
          <w:tcPr>
            <w:tcW w:w="4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(10,561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w:t>
            </w:r>
          </w:p>
        </w:tc>
        <w:tc>
          <w:tcPr>
            <w:tcW w:w="2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w:t>
            </w:r>
          </w:p>
        </w:tc>
        <w:tc>
          <w:tcPr>
            <w:tcW w:w="4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Amortization and depreciation of property, plant,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equipment at June 30, 2026</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(6,019</w:t>
            </w:r>
          </w:p>
        </w:tc>
        <w:tc>
          <w:tcPr>
            <w:tcW w:w="2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(3,728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5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(3,451</w:t>
            </w:r>
          </w:p>
        </w:tc>
        <w:tc>
          <w:tcPr>
            <w:tcW w:w="4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(13,432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Non-current assets </w:t>
      </w:r>
      <w:r>
        <w:rPr>
          <w:rFonts w:ascii="Times New Roman PS Std;serif" w:hAnsi="Times New Roman PS Std;serif"/>
          <w:b w:val="false"/>
          <w:i w:val="false"/>
          <w:caps w:val="false"/>
          <w:smallCaps w:val="false"/>
          <w:sz w:val="20"/>
        </w:rPr>
        <w:t>(cont.)</w:t>
      </w:r>
    </w:p>
    <w:tbl>
      <w:tblPr>
        <w:tblW w:w="10852" w:type="dxa"/>
        <w:jc w:val="left"/>
        <w:tblInd w:w="0" w:type="dxa"/>
        <w:tblLayout w:type="fixed"/>
        <w:tblCellMar>
          <w:top w:w="0" w:type="dxa"/>
          <w:left w:w="0" w:type="dxa"/>
          <w:bottom w:w="0" w:type="dxa"/>
          <w:right w:w="0" w:type="dxa"/>
        </w:tblCellMar>
      </w:tblPr>
      <w:tblGrid>
        <w:gridCol w:w="1511"/>
        <w:gridCol w:w="146"/>
        <w:gridCol w:w="986"/>
        <w:gridCol w:w="305"/>
        <w:gridCol w:w="146"/>
        <w:gridCol w:w="916"/>
        <w:gridCol w:w="241"/>
        <w:gridCol w:w="146"/>
        <w:gridCol w:w="717"/>
        <w:gridCol w:w="304"/>
        <w:gridCol w:w="146"/>
        <w:gridCol w:w="1291"/>
        <w:gridCol w:w="146"/>
        <w:gridCol w:w="882"/>
        <w:gridCol w:w="409"/>
        <w:gridCol w:w="146"/>
        <w:gridCol w:w="814"/>
        <w:gridCol w:w="252"/>
        <w:gridCol w:w="146"/>
        <w:gridCol w:w="916"/>
        <w:gridCol w:w="286"/>
      </w:tblGrid>
      <w:tr>
        <w:trPr/>
        <w:tc>
          <w:tcPr>
            <w:tcW w:w="15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Plant,</w:t>
              <w:br/>
              <w:t>equipment</w:t>
              <w:br/>
              <w:t>and</w:t>
              <w:br/>
              <w:t>machinery</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Fixtures</w:t>
              <w:br/>
              <w:t>and</w:t>
              <w:br/>
              <w:t>fittings</w:t>
            </w:r>
          </w:p>
        </w:tc>
        <w:tc>
          <w:tcPr>
            <w:tcW w:w="146"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Office</w:t>
              <w:br/>
              <w:t>supplies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Transport</w:t>
              <w:br/>
              <w:t>equipment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Hardware</w:t>
              <w:br/>
              <w:t>equipment</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Tangible</w:t>
              <w:br/>
              <w:t>assets in</w:t>
              <w:br/>
              <w:t>progress</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Net property, plant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equipment at January 1, 2026</w:t>
            </w:r>
          </w:p>
        </w:tc>
        <w:tc>
          <w:tcPr>
            <w:tcW w:w="146"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9,696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586</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590</w:t>
            </w:r>
          </w:p>
        </w:tc>
        <w:tc>
          <w:tcPr>
            <w:tcW w:w="4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1,069</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28,119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w:t>
            </w:r>
          </w:p>
        </w:tc>
        <w:tc>
          <w:tcPr>
            <w:tcW w:w="40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tcPr>
          <w:p>
            <w:pPr>
              <w:pStyle w:val="TableContents"/>
              <w:keepNext w:val="false"/>
              <w:widowControl/>
              <w:pBdr/>
              <w:bidi w:val="0"/>
              <w:spacing w:before="4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tcPr>
          <w:p>
            <w:pPr>
              <w:pStyle w:val="TableContents"/>
              <w:bidi w:val="0"/>
              <w:spacing w:before="0" w:after="283"/>
              <w:jc w:val="left"/>
              <w:rPr/>
            </w:pPr>
            <w:r>
              <w:rPr/>
              <w:t> </w:t>
            </w:r>
          </w:p>
        </w:tc>
        <w:tc>
          <w:tcPr>
            <w:tcW w:w="986" w:type="dxa"/>
            <w:tcBorders/>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305" w:type="dxa"/>
            <w:tcBorders/>
          </w:tcPr>
          <w:p>
            <w:pPr>
              <w:pStyle w:val="TableContents"/>
              <w:keepNext w:val="false"/>
              <w:widowControl/>
              <w:pBdr/>
              <w:bidi w:val="0"/>
              <w:spacing w:before="4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916" w:type="dxa"/>
            <w:tcBorders/>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241" w:type="dxa"/>
            <w:tcBorders/>
          </w:tcPr>
          <w:p>
            <w:pPr>
              <w:pStyle w:val="TableContents"/>
              <w:keepNext w:val="false"/>
              <w:widowControl/>
              <w:pBdr/>
              <w:bidi w:val="0"/>
              <w:spacing w:before="4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717" w:type="dxa"/>
            <w:tcBorders/>
          </w:tcPr>
          <w:p>
            <w:pPr>
              <w:pStyle w:val="TableContents"/>
              <w:keepNext w:val="false"/>
              <w:widowControl/>
              <w:pBdr/>
              <w:bidi w:val="0"/>
              <w:spacing w:before="40" w:after="283"/>
              <w:ind w:left="0" w:right="60" w:hanging="0"/>
              <w:jc w:val="right"/>
              <w:rPr>
                <w:caps w:val="false"/>
                <w:smallCaps w:val="false"/>
              </w:rPr>
            </w:pPr>
            <w:r>
              <w:rPr>
                <w:caps w:val="false"/>
                <w:smallCaps w:val="false"/>
              </w:rPr>
              <w:t>—</w:t>
            </w:r>
          </w:p>
        </w:tc>
        <w:tc>
          <w:tcPr>
            <w:tcW w:w="304" w:type="dxa"/>
            <w:tcBorders/>
          </w:tcPr>
          <w:p>
            <w:pPr>
              <w:pStyle w:val="TableContents"/>
              <w:keepNext w:val="false"/>
              <w:widowControl/>
              <w:pBdr/>
              <w:bidi w:val="0"/>
              <w:spacing w:before="4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4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82" w:type="dxa"/>
            <w:tcBorders/>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w:t>
            </w:r>
          </w:p>
        </w:tc>
        <w:tc>
          <w:tcPr>
            <w:tcW w:w="409" w:type="dxa"/>
            <w:tcBorders/>
          </w:tcPr>
          <w:p>
            <w:pPr>
              <w:pStyle w:val="TableContents"/>
              <w:keepNext w:val="false"/>
              <w:widowControl/>
              <w:pBdr/>
              <w:bidi w:val="0"/>
              <w:spacing w:before="4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814" w:type="dxa"/>
            <w:tcBorders/>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252" w:type="dxa"/>
            <w:tcBorders/>
          </w:tcPr>
          <w:p>
            <w:pPr>
              <w:pStyle w:val="TableContents"/>
              <w:keepNext w:val="false"/>
              <w:widowControl/>
              <w:pBdr/>
              <w:bidi w:val="0"/>
              <w:spacing w:before="4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916" w:type="dxa"/>
            <w:tcBorders/>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3,033</w:t>
            </w:r>
          </w:p>
        </w:tc>
        <w:tc>
          <w:tcPr>
            <w:tcW w:w="286" w:type="dxa"/>
            <w:tcBorders/>
          </w:tcPr>
          <w:p>
            <w:pPr>
              <w:pStyle w:val="TableContents"/>
              <w:keepNext w:val="false"/>
              <w:widowControl/>
              <w:pBdr/>
              <w:bidi w:val="0"/>
              <w:spacing w:before="4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property, plant and equipment at June 30, 2026</w:t>
            </w:r>
          </w:p>
        </w:tc>
        <w:tc>
          <w:tcPr>
            <w:tcW w:w="146" w:type="dxa"/>
            <w:tcBorders/>
            <w:shd w:fill="CCEEFF" w:val="clear"/>
            <w:vAlign w:val="bottom"/>
          </w:tcPr>
          <w:p>
            <w:pPr>
              <w:pStyle w:val="TableContents"/>
              <w:bidi w:val="0"/>
              <w:spacing w:before="0" w:after="283"/>
              <w:jc w:val="left"/>
              <w:rPr/>
            </w:pPr>
            <w:r>
              <w:rPr/>
              <w:t> </w:t>
            </w:r>
          </w:p>
        </w:tc>
        <w:tc>
          <w:tcPr>
            <w:tcW w:w="9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9,051</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519</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3,307</w:t>
            </w:r>
          </w:p>
        </w:tc>
        <w:tc>
          <w:tcPr>
            <w:tcW w:w="4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2,327</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30,346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reclassification mainly relates to the commissioning of the QPU under the Saudi Aramco contract in May 2026. As of December 31, 2025, €2,578 thousand relating to this contract were classified as inventory.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indications of impairment of property, plant &amp; equipment as at June 30,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Current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 Inventories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2888"/>
        <w:gridCol w:w="146"/>
        <w:gridCol w:w="916"/>
        <w:gridCol w:w="146"/>
        <w:gridCol w:w="984"/>
        <w:gridCol w:w="382"/>
        <w:gridCol w:w="146"/>
        <w:gridCol w:w="916"/>
        <w:gridCol w:w="146"/>
        <w:gridCol w:w="916"/>
        <w:gridCol w:w="146"/>
        <w:gridCol w:w="1055"/>
        <w:gridCol w:w="311"/>
        <w:gridCol w:w="146"/>
        <w:gridCol w:w="961"/>
      </w:tblGrid>
      <w:tr>
        <w:trPr/>
        <w:tc>
          <w:tcPr>
            <w:tcW w:w="2888"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vMerge w:val="restart"/>
            <w:tcBorders/>
            <w:vAlign w:val="bottom"/>
          </w:tcPr>
          <w:p>
            <w:pPr>
              <w:pStyle w:val="TableContents"/>
              <w:bidi w:val="0"/>
              <w:spacing w:before="0" w:after="283"/>
              <w:jc w:val="left"/>
              <w:rPr/>
            </w:pPr>
            <w:r>
              <w:rPr/>
              <w:t> </w:t>
            </w:r>
          </w:p>
        </w:tc>
        <w:tc>
          <w:tcPr>
            <w:tcW w:w="3490"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2026</w:t>
            </w:r>
          </w:p>
        </w:tc>
        <w:tc>
          <w:tcPr>
            <w:tcW w:w="146" w:type="dxa"/>
            <w:tcBorders/>
            <w:vAlign w:val="bottom"/>
          </w:tcPr>
          <w:p>
            <w:pPr>
              <w:pStyle w:val="TableContents"/>
              <w:bidi w:val="0"/>
              <w:spacing w:before="0" w:after="283"/>
              <w:jc w:val="left"/>
              <w:rPr/>
            </w:pPr>
            <w:r>
              <w:rPr/>
              <w:t> </w:t>
            </w:r>
          </w:p>
        </w:tc>
        <w:tc>
          <w:tcPr>
            <w:tcW w:w="3535"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2888"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r>
      <w:tr>
        <w:trPr/>
        <w:tc>
          <w:tcPr>
            <w:tcW w:w="28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 and other supplies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7,690</w:t>
            </w:r>
          </w:p>
        </w:tc>
        <w:tc>
          <w:tcPr>
            <w:tcW w:w="14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7,690</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6,166</w:t>
            </w:r>
          </w:p>
        </w:tc>
        <w:tc>
          <w:tcPr>
            <w:tcW w:w="146"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6,166</w:t>
            </w:r>
          </w:p>
        </w:tc>
      </w:tr>
      <w:tr>
        <w:trPr/>
        <w:tc>
          <w:tcPr>
            <w:tcW w:w="288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 in progress – goods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4,427</w:t>
            </w:r>
          </w:p>
        </w:tc>
        <w:tc>
          <w:tcPr>
            <w:tcW w:w="146" w:type="dxa"/>
            <w:tcBorders/>
            <w:vAlign w:val="bottom"/>
          </w:tcPr>
          <w:p>
            <w:pPr>
              <w:pStyle w:val="TableContents"/>
              <w:bidi w:val="0"/>
              <w:spacing w:before="0" w:after="283"/>
              <w:jc w:val="left"/>
              <w:rPr/>
            </w:pPr>
            <w:r>
              <w:rPr/>
              <w:t> </w:t>
            </w:r>
          </w:p>
        </w:tc>
        <w:tc>
          <w:tcPr>
            <w:tcW w:w="9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3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4,106</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6,695</w:t>
            </w:r>
          </w:p>
        </w:tc>
        <w:tc>
          <w:tcPr>
            <w:tcW w:w="146" w:type="dxa"/>
            <w:tcBorders/>
            <w:vAlign w:val="bottom"/>
          </w:tcPr>
          <w:p>
            <w:pPr>
              <w:pStyle w:val="TableContents"/>
              <w:bidi w:val="0"/>
              <w:spacing w:before="0" w:after="283"/>
              <w:jc w:val="left"/>
              <w:rPr/>
            </w:pPr>
            <w:r>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w:t>
            </w:r>
          </w:p>
        </w:tc>
        <w:tc>
          <w:tcPr>
            <w:tcW w:w="3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5,142</w:t>
            </w:r>
          </w:p>
        </w:tc>
      </w:tr>
      <w:tr>
        <w:trPr/>
        <w:tc>
          <w:tcPr>
            <w:tcW w:w="28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12,117</w:t>
            </w:r>
          </w:p>
        </w:tc>
        <w:tc>
          <w:tcPr>
            <w:tcW w:w="146" w:type="dxa"/>
            <w:tcBorders/>
            <w:shd w:fill="CCEEFF" w:val="clear"/>
            <w:vAlign w:val="bottom"/>
          </w:tcPr>
          <w:p>
            <w:pPr>
              <w:pStyle w:val="TableContents"/>
              <w:bidi w:val="0"/>
              <w:spacing w:before="0" w:after="283"/>
              <w:jc w:val="left"/>
              <w:rPr/>
            </w:pPr>
            <w:r>
              <w:rPr/>
              <w:t> </w:t>
            </w:r>
          </w:p>
        </w:tc>
        <w:tc>
          <w:tcPr>
            <w:tcW w:w="98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(321</w:t>
            </w:r>
          </w:p>
        </w:tc>
        <w:tc>
          <w:tcPr>
            <w:tcW w:w="3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11,796</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12,861</w:t>
            </w:r>
          </w:p>
        </w:tc>
        <w:tc>
          <w:tcPr>
            <w:tcW w:w="146" w:type="dxa"/>
            <w:tcBorders/>
            <w:shd w:fill="CCEEFF" w:val="clear"/>
            <w:vAlign w:val="bottom"/>
          </w:tcPr>
          <w:p>
            <w:pPr>
              <w:pStyle w:val="TableContents"/>
              <w:bidi w:val="0"/>
              <w:spacing w:before="0" w:after="283"/>
              <w:jc w:val="left"/>
              <w:rPr/>
            </w:pPr>
            <w:r>
              <w:rPr/>
              <w:t> </w:t>
            </w:r>
          </w:p>
        </w:tc>
        <w:tc>
          <w:tcPr>
            <w:tcW w:w="10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(1,552</w:t>
            </w:r>
          </w:p>
        </w:tc>
        <w:tc>
          <w:tcPr>
            <w:tcW w:w="3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11,309</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contract with Québec Inc., a subsidiary of DistriQ, Pasqal recognized an impairment of work in progress amounting to €1,552 thousand as of December 31, 2025 due to expected future costs to fulfill its obligations. As of June 30, 2026, management reassessed the net realizable value of the related work in progress and recognized a reversal of impairment of €1,231 thousand as such costs had substantially been incurred through June 30, 2026, resulting in an impairment balance of €321 thousand as of June 30,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impairment of inventory was recognized for the period ended June 30, 2026. Management believes that the impairment risk of the components in inventory is low, given the projected revenue for 2026 and the order backlog.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 Cash and cash equivalents</w:t>
      </w:r>
    </w:p>
    <w:tbl>
      <w:tblPr>
        <w:tblW w:w="5755" w:type="dxa"/>
        <w:jc w:val="left"/>
        <w:tblInd w:w="0" w:type="dxa"/>
        <w:tblLayout w:type="fixed"/>
        <w:tblCellMar>
          <w:top w:w="0" w:type="dxa"/>
          <w:left w:w="0" w:type="dxa"/>
          <w:bottom w:w="0" w:type="dxa"/>
          <w:right w:w="0" w:type="dxa"/>
        </w:tblCellMar>
      </w:tblPr>
      <w:tblGrid>
        <w:gridCol w:w="2791"/>
        <w:gridCol w:w="146"/>
        <w:gridCol w:w="1051"/>
        <w:gridCol w:w="146"/>
        <w:gridCol w:w="1621"/>
      </w:tblGrid>
      <w:tr>
        <w:trPr/>
        <w:tc>
          <w:tcPr>
            <w:tcW w:w="27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27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securities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27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110,835</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73,736</w:t>
            </w:r>
          </w:p>
        </w:tc>
      </w:tr>
      <w:tr>
        <w:trPr/>
        <w:tc>
          <w:tcPr>
            <w:tcW w:w="27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110,835</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consist of cash at bank and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cash and cash equivalents include amounts received by the Group in connection with the Korean grant agreement and the IFA loan for €2,716 thousand and €4,637 thousand, respectively (compared to €2,832 thousand and €4,737 thousand as of December 31, 2025, respectively). Although these funds are contractually restricted to eligible expenditures and subject to reporting requirements, such restrictions do not affect the classification of the bank balance as 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cash and cash equivalents approximates their fair value due to their short-term nature. For information on the Group’s financial instruments measured at fair value, refer to Note 9.1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Consolidated Shareholders’ Equity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 Issued share capital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 Description of issued share capital</w:t>
      </w:r>
    </w:p>
    <w:tbl>
      <w:tblPr>
        <w:tblW w:w="5875" w:type="dxa"/>
        <w:jc w:val="left"/>
        <w:tblInd w:w="0" w:type="dxa"/>
        <w:tblLayout w:type="fixed"/>
        <w:tblCellMar>
          <w:top w:w="0" w:type="dxa"/>
          <w:left w:w="0" w:type="dxa"/>
          <w:bottom w:w="0" w:type="dxa"/>
          <w:right w:w="0" w:type="dxa"/>
        </w:tblCellMar>
      </w:tblPr>
      <w:tblGrid>
        <w:gridCol w:w="2701"/>
        <w:gridCol w:w="146"/>
        <w:gridCol w:w="1261"/>
        <w:gridCol w:w="146"/>
        <w:gridCol w:w="1621"/>
      </w:tblGrid>
      <w:tr>
        <w:trPr/>
        <w:tc>
          <w:tcPr>
            <w:tcW w:w="2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270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Number of shares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8,678,864</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7,148,772</w:t>
            </w:r>
          </w:p>
        </w:tc>
      </w:tr>
      <w:tr>
        <w:trPr/>
        <w:tc>
          <w:tcPr>
            <w:tcW w:w="270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 value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r>
      <w:tr>
        <w:trPr/>
        <w:tc>
          <w:tcPr>
            <w:tcW w:w="270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Paid-in capital in euros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868</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715</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Company’s share capital amounted to €868 thousand, divided into 8,678,864 common shares with a par value of €0.10 each. Share premiums amounted to €211,131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first half of 2026, the Group issued 499,769 Series C Shares through several capital increases in exchange for cash resulting in a total increase of €69,738 thousand, of which €50 thousand in share capital and €69,688 thousand in share premium. See Note 2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Series C Share issued under the Series C Financing carries attached share subscription warrants (collectively, the “BSA Ratchet warrants”) that may entitle the holder to subscribe, at nominal value, for additional Series C Shares upon the occurrence of certain contingent dilutive events (in particular, the issuance of new shares at a per-share price lower than €139.54, or the completion of an initial public offering — including in connection with the planned business combination — with a pre-money valuation of Pasqal S.A.S on a fully diluted basis lower than $2.0 billion). The BSA Ratchet warrants do not meet the definition of an equity instrument under IAS 32 and are accounted for as derivative financial liabilities measured at fair value through profit or loss in accordance with IFRS 9. Based on management’s assessment of facts and circumstances existing at the respective issuance dates and at June 30, 2026, including the expected progression of the contemplated business combination, the fair value of the BSA Ratchet warrants was determined to be immaterial. Accordingly, the proceeds received from the Series C Financing were allocated entirely to the Series C Shares issued. Subsequent to June 30, 2026, and following the completion of the Business Combination, all outstanding BSA Ratchet warrants expired in accordance with their contractual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these Series C issuances, and upon completion of the Qualified Equity Financing as contractually defined in the ORA agreements, the ORAs were automatically redeemed in Series C Shares on March 2, 2026. As a result of this redemption, a total of 682,448 Series C Shares were issued to ORA holders on March 2, 2026 for a total amount of €95,230 thousand, of which €68 thousand in share capital, €73,154 thousand in share premium, and the remaining amount in reserves. See Note 9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half of 2026, holders of BSPCEs exercised a total of 347,875 BSPCEs, resulting in the issuance of an equivalent number of ordinary shares. These exercises increased the Company’s share capital by €35 thousand and share premium by €100 thousand.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Consolidated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increase costs directly attributed to these transactions amounted to €1,969 thousand and were recognized as a deduction from share premium.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rights attached to the different classes of shares are as follows: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Equal rights to normal dividend distributions with other ordinary shareholders;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Priority rights that breakdown by class of common shares as described below (in the event of a sale at a price per Share inferior to the Series C Share Subscription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Series A, B and 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Series A, Series B and Series C Shares benefit from the most senior economic rights in the distribution waterfall. Following an initial allocation of 10% of the proceeds distributed pro rata among all selling shareholders (regardless of share class), holders of Series A, Series B and Series C Shares are entitled, on a pari passu basis among themselves, to receive an amount equal to: (i) the subscription price paid for such shares, plus (ii) any declared but unpaid dividends, minus (iii) the nominal value of such shares (the “Liquidation Preference A/B/C). This preference ranks ahead of all other share classes. In the event of insufficient proceeds, the Liquidation Preference A/B/C is allocated pro rata among the relevant holders based on their respective entitlements.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Seed Shares are entitled to receive, after satisfaction of the Liquidation Preference A/B/C, an amount equal to: (i) the subscription price paid for such shares, plus (ii) any declared but unpaid dividends, minus (iii) the nominal value of such shares (the “Liquidation Preference Seed”). In the event of insufficient proceeds, the Liquidation Preference Seed is allocated pro rata among the Seed Shareholders based on their respective entitlements.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Common Shares participate in the initial 10% allocation on a pro rata basis alongside all other share classes. Thereafter, Common Shares rank junior to all preferred share classes. Holders of Common Shares are only entitled to receive any residual proceeds remaining after full satisfaction of the Liquidation Preference A/B/C and the Liquidation Preference Seed if the Liquidation Preference A/B/C and/or the Liquidation Preference Seed is/are applicable, it being specified that if the Liquidation Preference A/B/C and/or the Liquidation Preference Seed is/are applicable, holders of Shares are entitled to 10% of the proceeds on a pro-rata basis, and then Common Shares are entitled to receive any residual proceeds remaining after full satisfaction of the Liquidation Preference A/B/C and the Liquidation Preference Seed.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Conversion of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Shares, Series B Shares and Series C Shares may be converted into common shares upon the occurrence of specific trigger events, notably an initial public offering. In particular, all preferred shares are automatically converted into common shares in the event of an IPO meeting predefined conditions, based on a 1:1 conversion ratio, subject to customary adjustments.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In the event of a sale with a price per share higher than such subscription price, the price shall be distributed among the selling Shareholders in proportion to the share capital of the Company on an as-converted to common shares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 Distribution of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distributed any dividend during the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Consolidated Shareholders’ Equity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 Other reserves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other reserves amounted to €95,500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share-based payments reserve is used to recognize the value of equity-settled share-based payments provided to employees, including key management personnel, as part of their remuneration. Refer to Note 8.3 for further disclosures of these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minority shareholders.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 Warrants and options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 Founder Share Subscription Warrants (“BSPCE”)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share options is measured at the grant date using a Monte-Carlo simulation model, taking into account the terms and conditions under which the options are granted.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BSPCE plans allocated in previous financial years as of June 30, 2026:</w:t>
      </w:r>
    </w:p>
    <w:tbl>
      <w:tblPr>
        <w:tblW w:w="11208" w:type="dxa"/>
        <w:jc w:val="left"/>
        <w:tblInd w:w="0" w:type="dxa"/>
        <w:tblLayout w:type="fixed"/>
        <w:tblCellMar>
          <w:top w:w="0" w:type="dxa"/>
          <w:left w:w="0" w:type="dxa"/>
          <w:bottom w:w="0" w:type="dxa"/>
          <w:right w:w="0" w:type="dxa"/>
        </w:tblCellMar>
      </w:tblPr>
      <w:tblGrid>
        <w:gridCol w:w="641"/>
        <w:gridCol w:w="146"/>
        <w:gridCol w:w="1156"/>
        <w:gridCol w:w="146"/>
        <w:gridCol w:w="1291"/>
        <w:gridCol w:w="146"/>
        <w:gridCol w:w="1291"/>
        <w:gridCol w:w="146"/>
        <w:gridCol w:w="1051"/>
        <w:gridCol w:w="146"/>
        <w:gridCol w:w="1111"/>
        <w:gridCol w:w="146"/>
        <w:gridCol w:w="1306"/>
        <w:gridCol w:w="146"/>
        <w:gridCol w:w="286"/>
        <w:gridCol w:w="706"/>
        <w:gridCol w:w="146"/>
        <w:gridCol w:w="1201"/>
      </w:tblGrid>
      <w:tr>
        <w:trPr/>
        <w:tc>
          <w:tcPr>
            <w:tcW w:w="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br/>
              <w:t>of</w:t>
              <w:br/>
              <w:t xml:space="preserve">BSPCE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w:t>
              <w:br/>
              <w:t>instruments</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w:t>
              <w:br/>
              <w:t>instruments</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of</w:t>
              <w:br/>
              <w:t>BSPCE</w:t>
              <w:br/>
              <w:t>cancelled</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Number</w:t>
              <w:br/>
              <w:t>of</w:t>
              <w:br/>
              <w:t>BSPCE</w:t>
              <w:br/>
              <w:t>exercised</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br/>
              <w:t>of BSPCE</w:t>
              <w:br/>
              <w:t>outstanding</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Exercise</w:t>
              <w:br/>
              <w:t>price</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Vesting</w:t>
              <w:br/>
              <w:t>period</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04_2019</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0.37</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07_2019</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0.37</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04_2021</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14.85</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12_2021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19,800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40,369</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29,300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32.22</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12_2023</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130,100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54,900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49,100</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73.17</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06_2024</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63,386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31,242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25,019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7,050</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56,261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10_2024</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4,050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04_2025</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23,074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69,226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92,300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10_2025 DG</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286,920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121,152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165,768</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286,920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73.17</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 months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10_2025</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138,460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60,576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77,884</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138,460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73.17</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 months</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11_2025</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68,700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3,975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61,925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2,800</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65,900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BSPCE 03_2026</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72,492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36,246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36,246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72,492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73.17</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 months</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BSPCE 07_2026</w:t>
            </w:r>
            <w:r>
              <w:rPr>
                <w:rFonts w:ascii="Times New Roman PS Std;serif" w:hAnsi="Times New Roman PS Std;serif"/>
                <w:b/>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500,388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125,097</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375,291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500,388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 months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1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1,893,146</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556,512</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851,009</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114,419</w:t>
            </w:r>
          </w:p>
        </w:tc>
        <w:tc>
          <w:tcPr>
            <w:tcW w:w="146" w:type="dxa"/>
            <w:tcBorders/>
            <w:vAlign w:val="bottom"/>
          </w:tcPr>
          <w:p>
            <w:pPr>
              <w:pStyle w:val="TableContents"/>
              <w:bidi w:val="0"/>
              <w:spacing w:before="0" w:after="283"/>
              <w:jc w:val="left"/>
              <w:rPr/>
            </w:pPr>
            <w:r>
              <w:rPr/>
              <w:t> </w:t>
            </w:r>
          </w:p>
        </w:tc>
        <w:tc>
          <w:tcPr>
            <w:tcW w:w="11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371,206</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1,407,521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Of which 347,875 BSPCEs exercised during the first half of 2026. See Note 8.1 for further disclosures.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BSPCE 03_2026 correspond to the increase in certain executives’ awards decided by the Remuneration Committee on March 12,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BSPCE 07_2026 were granted to certain executives. In accordance with IFRS 2.IG4, a portion of the expense was recognized in H1 2026, reflecting services received from February 2026, although the grant was formally approved only on 28 July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the BSPCE plans as equity-settled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 Options</w:t>
      </w:r>
    </w:p>
    <w:tbl>
      <w:tblPr>
        <w:tblW w:w="10205" w:type="dxa"/>
        <w:jc w:val="left"/>
        <w:tblInd w:w="0" w:type="dxa"/>
        <w:tblLayout w:type="fixed"/>
        <w:tblCellMar>
          <w:top w:w="0" w:type="dxa"/>
          <w:left w:w="0" w:type="dxa"/>
          <w:bottom w:w="0" w:type="dxa"/>
          <w:right w:w="0" w:type="dxa"/>
        </w:tblCellMar>
      </w:tblPr>
      <w:tblGrid>
        <w:gridCol w:w="901"/>
        <w:gridCol w:w="146"/>
        <w:gridCol w:w="1426"/>
        <w:gridCol w:w="146"/>
        <w:gridCol w:w="1035"/>
        <w:gridCol w:w="146"/>
        <w:gridCol w:w="1139"/>
        <w:gridCol w:w="146"/>
        <w:gridCol w:w="1151"/>
        <w:gridCol w:w="146"/>
        <w:gridCol w:w="1426"/>
        <w:gridCol w:w="146"/>
        <w:gridCol w:w="286"/>
        <w:gridCol w:w="826"/>
        <w:gridCol w:w="146"/>
        <w:gridCol w:w="993"/>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w:t>
              <w:br/>
              <w:t>date by the</w:t>
              <w:br/>
              <w:t>Chairman</w:t>
            </w:r>
          </w:p>
        </w:tc>
        <w:tc>
          <w:tcPr>
            <w:tcW w:w="146" w:type="dxa"/>
            <w:tcBorders/>
            <w:vAlign w:val="bottom"/>
          </w:tcPr>
          <w:p>
            <w:pPr>
              <w:pStyle w:val="TableContents"/>
              <w:bidi w:val="0"/>
              <w:spacing w:before="0" w:after="283"/>
              <w:jc w:val="left"/>
              <w:rPr/>
            </w:pPr>
            <w:r>
              <w:rPr/>
              <w:t> </w:t>
            </w:r>
          </w:p>
        </w:tc>
        <w:tc>
          <w:tcPr>
            <w:tcW w:w="103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br/>
              <w:t>of options</w:t>
              <w:br/>
              <w:t>granted</w:t>
            </w:r>
          </w:p>
        </w:tc>
        <w:tc>
          <w:tcPr>
            <w:tcW w:w="146" w:type="dxa"/>
            <w:tcBorders/>
            <w:vAlign w:val="bottom"/>
          </w:tcPr>
          <w:p>
            <w:pPr>
              <w:pStyle w:val="TableContents"/>
              <w:bidi w:val="0"/>
              <w:spacing w:before="0" w:after="283"/>
              <w:jc w:val="left"/>
              <w:rPr/>
            </w:pPr>
            <w:r>
              <w:rPr/>
              <w:t> </w:t>
            </w:r>
          </w:p>
        </w:tc>
        <w:tc>
          <w:tcPr>
            <w:tcW w:w="113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br/>
              <w:t>of options</w:t>
              <w:br/>
              <w:t>cancelled</w:t>
            </w:r>
          </w:p>
        </w:tc>
        <w:tc>
          <w:tcPr>
            <w:tcW w:w="146" w:type="dxa"/>
            <w:tcBorders/>
            <w:vAlign w:val="bottom"/>
          </w:tcPr>
          <w:p>
            <w:pPr>
              <w:pStyle w:val="TableContents"/>
              <w:bidi w:val="0"/>
              <w:spacing w:before="0" w:after="283"/>
              <w:jc w:val="left"/>
              <w:rPr/>
            </w:pPr>
            <w:r>
              <w:rPr/>
              <w:t> </w:t>
            </w:r>
          </w:p>
        </w:tc>
        <w:tc>
          <w:tcPr>
            <w:tcW w:w="11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br/>
              <w:t>of options</w:t>
              <w:br/>
              <w:t>exercised</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br/>
              <w:t>of options</w:t>
              <w:br/>
              <w:t>outstanding</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w:t>
              <w:br/>
              <w:t>price</w:t>
            </w:r>
          </w:p>
        </w:tc>
        <w:tc>
          <w:tcPr>
            <w:tcW w:w="146" w:type="dxa"/>
            <w:tcBorders/>
            <w:vAlign w:val="bottom"/>
          </w:tcPr>
          <w:p>
            <w:pPr>
              <w:pStyle w:val="TableContents"/>
              <w:bidi w:val="0"/>
              <w:spacing w:before="0" w:after="283"/>
              <w:jc w:val="left"/>
              <w:rPr/>
            </w:pPr>
            <w:r>
              <w:rPr/>
              <w:t> </w:t>
            </w:r>
          </w:p>
        </w:tc>
        <w:tc>
          <w:tcPr>
            <w:tcW w:w="99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Vesting</w:t>
              <w:br/>
              <w:t>Period</w:t>
            </w:r>
          </w:p>
        </w:tc>
      </w:tr>
      <w:tr>
        <w:trPr/>
        <w:tc>
          <w:tcPr>
            <w:tcW w:w="90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2024</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2024</w:t>
            </w:r>
          </w:p>
        </w:tc>
        <w:tc>
          <w:tcPr>
            <w:tcW w:w="146"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10,385</w:t>
            </w:r>
          </w:p>
        </w:tc>
        <w:tc>
          <w:tcPr>
            <w:tcW w:w="146"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0.0001</w:t>
            </w:r>
          </w:p>
        </w:tc>
        <w:tc>
          <w:tcPr>
            <w:tcW w:w="146"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years</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options are classified as equity-settled plans. The table below shows the outstanding options as of June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Financial liabilities</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 Changes during the period in current and non-current borrowings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4134"/>
        <w:gridCol w:w="146"/>
        <w:gridCol w:w="1147"/>
        <w:gridCol w:w="354"/>
        <w:gridCol w:w="146"/>
        <w:gridCol w:w="1163"/>
        <w:gridCol w:w="358"/>
        <w:gridCol w:w="146"/>
        <w:gridCol w:w="1066"/>
        <w:gridCol w:w="330"/>
        <w:gridCol w:w="146"/>
        <w:gridCol w:w="781"/>
        <w:gridCol w:w="288"/>
      </w:tblGrid>
      <w:tr>
        <w:trPr/>
        <w:tc>
          <w:tcPr>
            <w:tcW w:w="41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Long-term</w:t>
              <w:br/>
              <w:t>borrowing</w:t>
              <w:br/>
              <w:t>from credit</w:t>
              <w:br/>
              <w:t>institutions –</w:t>
              <w:br/>
              <w:t>non-current</w:t>
            </w:r>
          </w:p>
        </w:tc>
        <w:tc>
          <w:tcPr>
            <w:tcW w:w="146" w:type="dxa"/>
            <w:tcBorders/>
            <w:vAlign w:val="bottom"/>
          </w:tcPr>
          <w:p>
            <w:pPr>
              <w:pStyle w:val="TableContents"/>
              <w:bidi w:val="0"/>
              <w:spacing w:before="0" w:after="283"/>
              <w:jc w:val="left"/>
              <w:rPr/>
            </w:pPr>
            <w:r>
              <w:rPr/>
              <w:t> </w:t>
            </w:r>
          </w:p>
        </w:tc>
        <w:tc>
          <w:tcPr>
            <w:tcW w:w="15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Issue of</w:t>
              <w:br/>
              <w:t>investments</w:t>
              <w:br/>
              <w:t>and advances</w:t>
              <w:br/>
              <w:t>of the state –</w:t>
              <w:br/>
              <w:t>non-current</w:t>
            </w:r>
          </w:p>
        </w:tc>
        <w:tc>
          <w:tcPr>
            <w:tcW w:w="146"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br/>
              <w:t>loans and</w:t>
              <w:br/>
              <w:t>financial</w:t>
              <w:br/>
              <w:t>debts –</w:t>
              <w:br/>
              <w:t>non-current</w:t>
            </w:r>
          </w:p>
        </w:tc>
        <w:tc>
          <w:tcPr>
            <w:tcW w:w="146" w:type="dxa"/>
            <w:tcBorders/>
            <w:vAlign w:val="bottom"/>
          </w:tcPr>
          <w:p>
            <w:pPr>
              <w:pStyle w:val="TableContents"/>
              <w:bidi w:val="0"/>
              <w:spacing w:before="0" w:after="283"/>
              <w:jc w:val="left"/>
              <w:rPr/>
            </w:pPr>
            <w:r>
              <w:rPr/>
              <w:t> </w:t>
            </w:r>
          </w:p>
        </w:tc>
        <w:tc>
          <w:tcPr>
            <w:tcW w:w="106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13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Borrowings </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non-current at January 1, 2026</w:t>
            </w:r>
          </w:p>
        </w:tc>
        <w:tc>
          <w:tcPr>
            <w:tcW w:w="146"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1,900</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1,231</w:t>
            </w:r>
          </w:p>
        </w:tc>
        <w:tc>
          <w:tcPr>
            <w:tcW w:w="3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4,510</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7,640</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1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3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3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3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3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w:t>
            </w:r>
          </w:p>
        </w:tc>
        <w:tc>
          <w:tcPr>
            <w:tcW w:w="3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3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 at June 30, 2026</w:t>
            </w:r>
          </w:p>
        </w:tc>
        <w:tc>
          <w:tcPr>
            <w:tcW w:w="146" w:type="dxa"/>
            <w:tcBorders/>
            <w:vAlign w:val="bottom"/>
          </w:tcPr>
          <w:p>
            <w:pPr>
              <w:pStyle w:val="TableContents"/>
              <w:bidi w:val="0"/>
              <w:spacing w:before="0" w:after="283"/>
              <w:jc w:val="left"/>
              <w:rPr/>
            </w:pPr>
            <w:r>
              <w:rPr/>
              <w:t> </w:t>
            </w:r>
          </w:p>
        </w:tc>
        <w:tc>
          <w:tcPr>
            <w:tcW w:w="11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1,597</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1,312</w:t>
            </w:r>
          </w:p>
        </w:tc>
        <w:tc>
          <w:tcPr>
            <w:tcW w:w="3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4,887</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7,796</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borrowings mainly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BPI loans for an outstanding amount of €1,527 thousand (€1,810 thousand in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Canadian Investissement Québec loan including capitalized interests for €2,650 thousand (€2,580 thousand in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IFA loan for an outstanding amount of €2,236 thousand (€1,930 thousand in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 (fixed rate of 3.57%), BPI Innovation R&amp;D (fixed rate of 0.71%), the Canadian loan (fixed rate of 4.09%) and the IFA loan (fixed rate of 3.55%) bear interest rates below the prevailing market rate for comparable instruments. In accordance with IFRS 9, these borrowings were initially recognized at fair value based on market borrowing rates. The difference between the cash proceeds received and the initial fair value of each loan constitutes a government grant under IAS 20 and is presented as deferred income from government grants, recognized in profit or loss on a systematic basis over the respective borrowing terms See Note 11 for further disclosure.</w:t>
      </w:r>
    </w:p>
    <w:tbl>
      <w:tblPr>
        <w:tblW w:w="11482" w:type="dxa"/>
        <w:jc w:val="left"/>
        <w:tblInd w:w="0" w:type="dxa"/>
        <w:tblLayout w:type="fixed"/>
        <w:tblCellMar>
          <w:top w:w="0" w:type="dxa"/>
          <w:left w:w="0" w:type="dxa"/>
          <w:bottom w:w="0" w:type="dxa"/>
          <w:right w:w="0" w:type="dxa"/>
        </w:tblCellMar>
      </w:tblPr>
      <w:tblGrid>
        <w:gridCol w:w="2111"/>
        <w:gridCol w:w="146"/>
        <w:gridCol w:w="961"/>
        <w:gridCol w:w="241"/>
        <w:gridCol w:w="146"/>
        <w:gridCol w:w="1057"/>
        <w:gridCol w:w="354"/>
        <w:gridCol w:w="146"/>
        <w:gridCol w:w="707"/>
        <w:gridCol w:w="284"/>
        <w:gridCol w:w="146"/>
        <w:gridCol w:w="659"/>
        <w:gridCol w:w="302"/>
        <w:gridCol w:w="146"/>
        <w:gridCol w:w="772"/>
        <w:gridCol w:w="459"/>
        <w:gridCol w:w="146"/>
        <w:gridCol w:w="819"/>
        <w:gridCol w:w="487"/>
        <w:gridCol w:w="146"/>
        <w:gridCol w:w="961"/>
        <w:gridCol w:w="286"/>
      </w:tblGrid>
      <w:tr>
        <w:trPr/>
        <w:tc>
          <w:tcPr>
            <w:tcW w:w="21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 € thousand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Bond</w:t>
              <w:br/>
              <w:t>issues –</w:t>
              <w:br/>
              <w:t>current</w:t>
            </w:r>
          </w:p>
        </w:tc>
        <w:tc>
          <w:tcPr>
            <w:tcW w:w="146" w:type="dxa"/>
            <w:tcBorders/>
            <w:vAlign w:val="bottom"/>
          </w:tcPr>
          <w:p>
            <w:pPr>
              <w:pStyle w:val="TableContents"/>
              <w:bidi w:val="0"/>
              <w:spacing w:before="0" w:after="283"/>
              <w:jc w:val="left"/>
              <w:rPr/>
            </w:pPr>
            <w:r>
              <w:rPr/>
              <w:t> </w:t>
            </w:r>
          </w:p>
        </w:tc>
        <w:tc>
          <w:tcPr>
            <w:tcW w:w="141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Long-term</w:t>
              <w:br/>
              <w:t>borrowing</w:t>
              <w:br/>
              <w:t>from credit</w:t>
              <w:br/>
              <w:t>institutions </w:t>
            </w:r>
            <w:r>
              <w:rPr>
                <w:rFonts w:ascii="Times New Roman PS Std;serif" w:hAnsi="Times New Roman PS Std;serif"/>
                <w:b/>
                <w:i w:val="false"/>
                <w:caps w:val="false"/>
                <w:smallCaps w:val="false"/>
                <w:sz w:val="18"/>
              </w:rPr>
              <w:t>–</w:t>
              <w:br/>
            </w:r>
            <w:r>
              <w:rPr>
                <w:rFonts w:ascii="Times New Roman PS Std;serif" w:hAnsi="Times New Roman PS Std;serif"/>
                <w:b/>
                <w:i w:val="false"/>
                <w:caps w:val="false"/>
                <w:smallCaps w:val="false"/>
                <w:sz w:val="16"/>
              </w:rPr>
              <w:t>current</w:t>
            </w:r>
          </w:p>
        </w:tc>
        <w:tc>
          <w:tcPr>
            <w:tcW w:w="146" w:type="dxa"/>
            <w:tcBorders/>
            <w:vAlign w:val="bottom"/>
          </w:tcPr>
          <w:p>
            <w:pPr>
              <w:pStyle w:val="TableContents"/>
              <w:bidi w:val="0"/>
              <w:spacing w:before="0" w:after="283"/>
              <w:jc w:val="left"/>
              <w:rPr/>
            </w:pPr>
            <w:r>
              <w:rPr/>
              <w:t> </w:t>
            </w:r>
          </w:p>
        </w:tc>
        <w:tc>
          <w:tcPr>
            <w:tcW w:w="9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Accrued</w:t>
              <w:br/>
              <w:t>interests</w:t>
              <w:br/>
              <w:t>on loans</w:t>
            </w:r>
          </w:p>
        </w:tc>
        <w:tc>
          <w:tcPr>
            <w:tcW w:w="146"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Other</w:t>
              <w:br/>
              <w:t>loans and</w:t>
              <w:br/>
              <w:t>financial</w:t>
              <w:br/>
              <w:t>debts –</w:t>
              <w:br/>
              <w:t>current</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w:t>
              <w:br/>
              <w:t>bank</w:t>
              <w:br/>
              <w:t>borrowings</w:t>
              <w:br/>
              <w:t>and</w:t>
              <w:br/>
              <w:t>overdrafts</w:t>
            </w:r>
          </w:p>
        </w:tc>
        <w:tc>
          <w:tcPr>
            <w:tcW w:w="146"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Issue of</w:t>
              <w:br/>
              <w:t>investments</w:t>
              <w:br/>
              <w:t>and advances</w:t>
              <w:br/>
              <w:t>of the state –</w:t>
              <w:br/>
              <w:t>current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21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Borrowings – current at January 1, 2026</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102,278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2,711</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43</w:t>
            </w:r>
          </w:p>
        </w:tc>
        <w:tc>
          <w:tcPr>
            <w:tcW w:w="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111</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w:t>
            </w:r>
          </w:p>
        </w:tc>
        <w:tc>
          <w:tcPr>
            <w:tcW w:w="4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105,164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Subscription</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w:t>
            </w:r>
          </w:p>
        </w:tc>
        <w:tc>
          <w:tcPr>
            <w:tcW w:w="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Reimbursement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(602</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w:t>
            </w:r>
          </w:p>
        </w:tc>
        <w:tc>
          <w:tcPr>
            <w:tcW w:w="4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w:t>
            </w:r>
          </w:p>
        </w:tc>
        <w:tc>
          <w:tcPr>
            <w:tcW w:w="4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1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Conversion</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(95,230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(95,230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1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Translation adjustments</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w:t>
            </w:r>
          </w:p>
        </w:tc>
        <w:tc>
          <w:tcPr>
            <w:tcW w:w="3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Changes in scope</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Reclassification</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w:t>
            </w:r>
          </w:p>
        </w:tc>
        <w:tc>
          <w:tcPr>
            <w:tcW w:w="28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Fair value and other changes</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(7,048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(7,048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1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Borrowings – current at June 30, 2026</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2,549</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137</w:t>
            </w:r>
          </w:p>
        </w:tc>
        <w:tc>
          <w:tcPr>
            <w:tcW w:w="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157</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w:t>
            </w:r>
          </w:p>
        </w:tc>
        <w:tc>
          <w:tcPr>
            <w:tcW w:w="4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Financial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current borrowings as of June 30, 2026 mainly related to the redemption of the ORAs.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the Group issued ORAs for a total amount of €68,295 thousand. These instruments were designated in full at fair value through profit or loss and classified within Level 3 of the fair value hierarchy</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2026, the Group completed the capital increase (Series C financing) — see Notes 2 and 8. Following these Series C issuances, and upon completion of the Qualified Equity Financing as contractually defined in the ORA agreements, the ORAs were automatically redeemed in Series C Shares on March 2, 2026. As a result of this redemption, a total of 682,448 Series C Shares were issued to ORA holders on March 2,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fair value at redemption date was determined based on the contractual conversion terms, under which the amount delivered to investors in shares is equal to the nominal amount plus accrued interest, multiplied by a contractual conversion factor contractually defined between 1/0.65 and 1/0.85, depending on the period elapsed between the subscription date and the occurrence of the Qualified Equity Financing event. As of March 2, 2026, the ORAs were remeasured at €95,230 thousand, the corresponding change in fair value was recognized as a gain in profit or loss under “Change in fair value of financial liabilities at FVPL” for €7,048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ORAs were derecognized upon conversion into equity instruments, with the corresponding amount reclassified from financial liabilities to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information on the Group’s fair value measurement policies, including the IFRS 13 fair value hierarchy, valuation techniques, significant unobservable inputs and sensitivity analyses relating to these instruments, is provided in Note 18 to the consolidated financial statements as of 31 December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 Breakdown of borrowings and other loans by maturity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June 30, 2026</w:t>
      </w:r>
    </w:p>
    <w:tbl>
      <w:tblPr>
        <w:tblW w:w="10205" w:type="dxa"/>
        <w:jc w:val="left"/>
        <w:tblInd w:w="0" w:type="dxa"/>
        <w:tblLayout w:type="fixed"/>
        <w:tblCellMar>
          <w:top w:w="0" w:type="dxa"/>
          <w:left w:w="0" w:type="dxa"/>
          <w:bottom w:w="0" w:type="dxa"/>
          <w:right w:w="0" w:type="dxa"/>
        </w:tblCellMar>
      </w:tblPr>
      <w:tblGrid>
        <w:gridCol w:w="5160"/>
        <w:gridCol w:w="146"/>
        <w:gridCol w:w="991"/>
        <w:gridCol w:w="146"/>
        <w:gridCol w:w="955"/>
        <w:gridCol w:w="146"/>
        <w:gridCol w:w="1538"/>
        <w:gridCol w:w="146"/>
        <w:gridCol w:w="977"/>
      </w:tblGrid>
      <w:tr>
        <w:trPr/>
        <w:tc>
          <w:tcPr>
            <w:tcW w:w="51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53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Between 1 and</w:t>
              <w:br/>
              <w:t>5 years</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51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1,597</w:t>
            </w:r>
          </w:p>
        </w:tc>
        <w:tc>
          <w:tcPr>
            <w:tcW w:w="14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1,597</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non-current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w:t>
              <w:br/>
              <w:t>non-current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4,887</w:t>
            </w:r>
          </w:p>
        </w:tc>
        <w:tc>
          <w:tcPr>
            <w:tcW w:w="14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1,544</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3,343</w:t>
            </w:r>
          </w:p>
        </w:tc>
      </w:tr>
      <w:tr>
        <w:trPr/>
        <w:tc>
          <w:tcPr>
            <w:tcW w:w="516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7,796</w:t>
            </w:r>
          </w:p>
        </w:tc>
        <w:tc>
          <w:tcPr>
            <w:tcW w:w="146" w:type="dxa"/>
            <w:tcBorders/>
            <w:vAlign w:val="bottom"/>
          </w:tcPr>
          <w:p>
            <w:pPr>
              <w:pStyle w:val="TableContents"/>
              <w:bidi w:val="0"/>
              <w:spacing w:before="0" w:after="283"/>
              <w:jc w:val="left"/>
              <w:rPr/>
            </w:pPr>
            <w:r>
              <w:rPr/>
              <w:t> </w:t>
            </w:r>
          </w:p>
        </w:tc>
        <w:tc>
          <w:tcPr>
            <w:tcW w:w="95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4,454</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3,343</w:t>
            </w:r>
          </w:p>
        </w:tc>
      </w:tr>
      <w:tr>
        <w:trPr/>
        <w:tc>
          <w:tcPr>
            <w:tcW w:w="5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left"/>
              <w:rPr/>
            </w:pPr>
            <w:r>
              <w:rPr/>
              <w:t> </w:t>
            </w:r>
          </w:p>
        </w:tc>
      </w:tr>
      <w:tr>
        <w:trPr/>
        <w:tc>
          <w:tcPr>
            <w:tcW w:w="516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2,549</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2,549</w:t>
            </w:r>
          </w:p>
        </w:tc>
        <w:tc>
          <w:tcPr>
            <w:tcW w:w="146" w:type="dxa"/>
            <w:tcBorders/>
            <w:vAlign w:val="bottom"/>
          </w:tcPr>
          <w:p>
            <w:pPr>
              <w:pStyle w:val="TableContents"/>
              <w:bidi w:val="0"/>
              <w:spacing w:before="0" w:after="283"/>
              <w:jc w:val="left"/>
              <w:rPr/>
            </w:pPr>
            <w:r>
              <w:rPr/>
              <w:t> </w:t>
            </w:r>
          </w:p>
        </w:tc>
        <w:tc>
          <w:tcPr>
            <w:tcW w:w="15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14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14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current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vAlign w:val="bottom"/>
          </w:tcPr>
          <w:p>
            <w:pPr>
              <w:pStyle w:val="TableContents"/>
              <w:bidi w:val="0"/>
              <w:spacing w:before="0" w:after="283"/>
              <w:jc w:val="left"/>
              <w:rPr/>
            </w:pPr>
            <w:r>
              <w:rPr/>
              <w:t> </w:t>
            </w:r>
          </w:p>
        </w:tc>
        <w:tc>
          <w:tcPr>
            <w:tcW w:w="15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current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15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2,854</w:t>
            </w:r>
          </w:p>
        </w:tc>
        <w:tc>
          <w:tcPr>
            <w:tcW w:w="146" w:type="dxa"/>
            <w:tcBorders/>
            <w:shd w:fill="CCEEFF" w:val="clear"/>
            <w:vAlign w:val="bottom"/>
          </w:tcPr>
          <w:p>
            <w:pPr>
              <w:pStyle w:val="TableContents"/>
              <w:bidi w:val="0"/>
              <w:spacing w:before="0" w:after="283"/>
              <w:jc w:val="left"/>
              <w:rPr/>
            </w:pPr>
            <w:r>
              <w:rPr/>
              <w:t> </w:t>
            </w:r>
          </w:p>
        </w:tc>
        <w:tc>
          <w:tcPr>
            <w:tcW w:w="9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2,854</w:t>
            </w:r>
          </w:p>
        </w:tc>
        <w:tc>
          <w:tcPr>
            <w:tcW w:w="146" w:type="dxa"/>
            <w:tcBorders/>
            <w:shd w:fill="CCEEFF" w:val="clear"/>
            <w:vAlign w:val="bottom"/>
          </w:tcPr>
          <w:p>
            <w:pPr>
              <w:pStyle w:val="TableContents"/>
              <w:bidi w:val="0"/>
              <w:spacing w:before="0" w:after="283"/>
              <w:jc w:val="left"/>
              <w:rPr/>
            </w:pPr>
            <w:r>
              <w:rPr/>
              <w:t> </w:t>
            </w:r>
          </w:p>
        </w:tc>
        <w:tc>
          <w:tcPr>
            <w:tcW w:w="153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Financial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 Breakdown of borrowings and other loans by maturity (undiscounted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June 30, 2026</w:t>
      </w:r>
    </w:p>
    <w:tbl>
      <w:tblPr>
        <w:tblW w:w="10205" w:type="dxa"/>
        <w:jc w:val="left"/>
        <w:tblInd w:w="0" w:type="dxa"/>
        <w:tblLayout w:type="fixed"/>
        <w:tblCellMar>
          <w:top w:w="0" w:type="dxa"/>
          <w:left w:w="0" w:type="dxa"/>
          <w:bottom w:w="0" w:type="dxa"/>
          <w:right w:w="0" w:type="dxa"/>
        </w:tblCellMar>
      </w:tblPr>
      <w:tblGrid>
        <w:gridCol w:w="5206"/>
        <w:gridCol w:w="146"/>
        <w:gridCol w:w="991"/>
        <w:gridCol w:w="146"/>
        <w:gridCol w:w="942"/>
        <w:gridCol w:w="146"/>
        <w:gridCol w:w="1504"/>
        <w:gridCol w:w="146"/>
        <w:gridCol w:w="978"/>
      </w:tblGrid>
      <w:tr>
        <w:trPr/>
        <w:tc>
          <w:tcPr>
            <w:tcW w:w="52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50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Between 1 and</w:t>
              <w:br/>
              <w:t>5 years</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52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1,870</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1,870</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non-current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w:t>
              <w:br/>
              <w:t>non-current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8,599</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4,130</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4,469</w:t>
            </w:r>
          </w:p>
        </w:tc>
      </w:tr>
      <w:tr>
        <w:trPr/>
        <w:tc>
          <w:tcPr>
            <w:tcW w:w="52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11,782</w:t>
            </w:r>
          </w:p>
        </w:tc>
        <w:tc>
          <w:tcPr>
            <w:tcW w:w="146" w:type="dxa"/>
            <w:tcBorders/>
            <w:vAlign w:val="bottom"/>
          </w:tcPr>
          <w:p>
            <w:pPr>
              <w:pStyle w:val="TableContents"/>
              <w:bidi w:val="0"/>
              <w:spacing w:before="0" w:after="283"/>
              <w:jc w:val="left"/>
              <w:rPr/>
            </w:pPr>
            <w:r>
              <w:rPr/>
              <w:t> </w:t>
            </w:r>
          </w:p>
        </w:tc>
        <w:tc>
          <w:tcPr>
            <w:tcW w:w="9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7,312</w:t>
            </w:r>
          </w:p>
        </w:tc>
        <w:tc>
          <w:tcPr>
            <w:tcW w:w="146" w:type="dxa"/>
            <w:tcBorders/>
            <w:vAlign w:val="bottom"/>
          </w:tcPr>
          <w:p>
            <w:pPr>
              <w:pStyle w:val="TableContents"/>
              <w:bidi w:val="0"/>
              <w:spacing w:before="0" w:after="283"/>
              <w:jc w:val="left"/>
              <w:rPr/>
            </w:pPr>
            <w:r>
              <w:rPr/>
              <w:t> </w:t>
            </w:r>
          </w:p>
        </w:tc>
        <w:tc>
          <w:tcPr>
            <w:tcW w:w="9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4,469</w:t>
            </w:r>
          </w:p>
        </w:tc>
      </w:tr>
      <w:tr>
        <w:trPr/>
        <w:tc>
          <w:tcPr>
            <w:tcW w:w="52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2,802</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2,802</w:t>
            </w:r>
          </w:p>
        </w:tc>
        <w:tc>
          <w:tcPr>
            <w:tcW w:w="146"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146" w:type="dxa"/>
            <w:tcBorders/>
            <w:vAlign w:val="bottom"/>
          </w:tcPr>
          <w:p>
            <w:pPr>
              <w:pStyle w:val="TableContents"/>
              <w:bidi w:val="0"/>
              <w:spacing w:before="0" w:after="283"/>
              <w:jc w:val="left"/>
              <w:rPr/>
            </w:pPr>
            <w:r>
              <w:rPr/>
              <w:t> </w:t>
            </w:r>
          </w:p>
        </w:tc>
        <w:tc>
          <w:tcPr>
            <w:tcW w:w="15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5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3,108</w:t>
            </w:r>
          </w:p>
        </w:tc>
        <w:tc>
          <w:tcPr>
            <w:tcW w:w="146" w:type="dxa"/>
            <w:tcBorders/>
            <w:vAlign w:val="bottom"/>
          </w:tcPr>
          <w:p>
            <w:pPr>
              <w:pStyle w:val="TableContents"/>
              <w:bidi w:val="0"/>
              <w:spacing w:before="0" w:after="283"/>
              <w:jc w:val="left"/>
              <w:rPr/>
            </w:pPr>
            <w:r>
              <w:rPr/>
              <w:t> </w:t>
            </w:r>
          </w:p>
        </w:tc>
        <w:tc>
          <w:tcPr>
            <w:tcW w:w="9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3,108</w:t>
            </w:r>
          </w:p>
        </w:tc>
        <w:tc>
          <w:tcPr>
            <w:tcW w:w="146" w:type="dxa"/>
            <w:tcBorders/>
            <w:vAlign w:val="bottom"/>
          </w:tcPr>
          <w:p>
            <w:pPr>
              <w:pStyle w:val="TableContents"/>
              <w:bidi w:val="0"/>
              <w:spacing w:before="0" w:after="283"/>
              <w:jc w:val="left"/>
              <w:rPr/>
            </w:pPr>
            <w:r>
              <w:rPr/>
              <w:t> </w:t>
            </w:r>
          </w:p>
        </w:tc>
        <w:tc>
          <w:tcPr>
            <w:tcW w:w="15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Share-based payments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r>
        <w:rPr>
          <w:rFonts w:ascii="Times New Roman PS Std;serif" w:hAnsi="Times New Roman PS Std;serif"/>
          <w:b/>
          <w:i/>
          <w:caps w:val="false"/>
          <w:smallCaps w:val="false"/>
          <w:sz w:val="20"/>
        </w:rPr>
        <w:t>.</w:t>
      </w:r>
      <w:r>
        <w:rPr>
          <w:rFonts w:ascii="Times New Roman PS Std;serif" w:hAnsi="Times New Roman PS Std;serif"/>
          <w:b/>
          <w:i w:val="false"/>
          <w:caps w:val="false"/>
          <w:smallCaps w:val="false"/>
          <w:sz w:val="20"/>
        </w:rPr>
        <w:t>1. Share-based payment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description of BSPCEs and options is provided in Note 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liability associated with the share appreciation rights (SARs) awards is measured both at initial recognition and at each reporting date until settlement, based on the fair value of the SARs, determined using a Monte-Carlo simulation model that reflects the terms of the grant and the extent of services rendered by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SARs allocated in previous financial years as of June 30, 2026:</w:t>
      </w:r>
    </w:p>
    <w:tbl>
      <w:tblPr>
        <w:tblW w:w="11328" w:type="dxa"/>
        <w:jc w:val="left"/>
        <w:tblInd w:w="0" w:type="dxa"/>
        <w:tblLayout w:type="fixed"/>
        <w:tblCellMar>
          <w:top w:w="0" w:type="dxa"/>
          <w:left w:w="0" w:type="dxa"/>
          <w:bottom w:w="0" w:type="dxa"/>
          <w:right w:w="0" w:type="dxa"/>
        </w:tblCellMar>
      </w:tblPr>
      <w:tblGrid>
        <w:gridCol w:w="926"/>
        <w:gridCol w:w="146"/>
        <w:gridCol w:w="961"/>
        <w:gridCol w:w="146"/>
        <w:gridCol w:w="1291"/>
        <w:gridCol w:w="146"/>
        <w:gridCol w:w="1291"/>
        <w:gridCol w:w="146"/>
        <w:gridCol w:w="1051"/>
        <w:gridCol w:w="146"/>
        <w:gridCol w:w="1051"/>
        <w:gridCol w:w="146"/>
        <w:gridCol w:w="1306"/>
        <w:gridCol w:w="146"/>
        <w:gridCol w:w="286"/>
        <w:gridCol w:w="706"/>
        <w:gridCol w:w="146"/>
        <w:gridCol w:w="1291"/>
      </w:tblGrid>
      <w:tr>
        <w:trPr/>
        <w:tc>
          <w:tcPr>
            <w:tcW w:w="9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br/>
              <w:t>of</w:t>
              <w:br/>
              <w:t>SAR</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w:t>
              <w:br/>
              <w:t>instruments</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w:t>
              <w:br/>
              <w:t>instruments</w:t>
              <w:br/>
              <w:t>to be</w:t>
              <w:br/>
              <w:t>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br/>
              <w:t>of SAR</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br/>
              <w:t>of SAR</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br/>
              <w:t>of SAR</w:t>
              <w:br/>
              <w:t>outstanding</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Exercise</w:t>
              <w:br/>
              <w:t>price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9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2022</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146,100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103,500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9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2023</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11,500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73.17</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9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06_2024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52,763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23,050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11,982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17,731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35,032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9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10_2024</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4,180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1,080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2,660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9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04_2025</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9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Aeponyx</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24,300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32,400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9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2025</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1,150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7,550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to 4 years</w:t>
            </w:r>
          </w:p>
        </w:tc>
      </w:tr>
      <w:tr>
        <w:trPr/>
        <w:tc>
          <w:tcPr>
            <w:tcW w:w="9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2026</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10,312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9,688</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 months</w:t>
            </w:r>
          </w:p>
        </w:tc>
      </w:tr>
      <w:tr>
        <w:trPr/>
        <w:tc>
          <w:tcPr>
            <w:tcW w:w="9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286,243</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155,890</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61,162</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67,291</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217,052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Share-based payments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 IFRS 2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breakdown of this expense by plan is shown in the following table:</w:t>
      </w:r>
    </w:p>
    <w:tbl>
      <w:tblPr>
        <w:tblW w:w="4450" w:type="dxa"/>
        <w:jc w:val="left"/>
        <w:tblInd w:w="0" w:type="dxa"/>
        <w:tblLayout w:type="fixed"/>
        <w:tblCellMar>
          <w:top w:w="0" w:type="dxa"/>
          <w:left w:w="0" w:type="dxa"/>
          <w:bottom w:w="0" w:type="dxa"/>
          <w:right w:w="0" w:type="dxa"/>
        </w:tblCellMar>
      </w:tblPr>
      <w:tblGrid>
        <w:gridCol w:w="2131"/>
        <w:gridCol w:w="146"/>
        <w:gridCol w:w="991"/>
        <w:gridCol w:w="146"/>
        <w:gridCol w:w="1036"/>
      </w:tblGrid>
      <w:tr>
        <w:trPr/>
        <w:tc>
          <w:tcPr>
            <w:tcW w:w="21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six-month </w:t>
              <w:br/>
              <w:t>period ended</w:t>
            </w:r>
          </w:p>
        </w:tc>
      </w:tr>
      <w:tr>
        <w:trPr/>
        <w:tc>
          <w:tcPr>
            <w:tcW w:w="21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213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23,143</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w:t>
            </w:r>
          </w:p>
        </w:tc>
      </w:tr>
      <w:tr>
        <w:trPr/>
        <w:tc>
          <w:tcPr>
            <w:tcW w:w="213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option</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r>
      <w:tr>
        <w:trPr/>
        <w:tc>
          <w:tcPr>
            <w:tcW w:w="213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 share plan</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213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w:t>
            </w:r>
          </w:p>
        </w:tc>
      </w:tr>
      <w:tr>
        <w:trPr/>
        <w:tc>
          <w:tcPr>
            <w:tcW w:w="213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27,334</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increase primarily reflects the recognition of share-based compensation expense relating to additional BSPCE grants awarded to certain executives, together with expense recognized in respect of existing share-based payment plans (see Notes 8.3 and 17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portion of this expense recognized against equity amounted to €23,334 thousand and was recorded within other reserves, whereas the portion recognized against liability amounted to €4,000 thousand and was recognized under employee benefit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inputs were used in the valuation of the equity-settled plans granted during the first half of 2026 and the cash-settled plans, for the period ended June 30, 2026:</w:t>
      </w:r>
    </w:p>
    <w:tbl>
      <w:tblPr>
        <w:tblW w:w="5399" w:type="dxa"/>
        <w:jc w:val="left"/>
        <w:tblInd w:w="0" w:type="dxa"/>
        <w:tblLayout w:type="fixed"/>
        <w:tblCellMar>
          <w:top w:w="0" w:type="dxa"/>
          <w:left w:w="0" w:type="dxa"/>
          <w:bottom w:w="0" w:type="dxa"/>
          <w:right w:w="0" w:type="dxa"/>
        </w:tblCellMar>
      </w:tblPr>
      <w:tblGrid>
        <w:gridCol w:w="3091"/>
        <w:gridCol w:w="146"/>
        <w:gridCol w:w="286"/>
        <w:gridCol w:w="1876"/>
      </w:tblGrid>
      <w:tr>
        <w:trPr/>
        <w:tc>
          <w:tcPr>
            <w:tcW w:w="3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Assumption</w:t>
            </w:r>
          </w:p>
        </w:tc>
        <w:tc>
          <w:tcPr>
            <w:tcW w:w="146" w:type="dxa"/>
            <w:tcBorders/>
            <w:vAlign w:val="bottom"/>
          </w:tcPr>
          <w:p>
            <w:pPr>
              <w:pStyle w:val="TableContents"/>
              <w:bidi w:val="0"/>
              <w:spacing w:before="0" w:after="283"/>
              <w:jc w:val="left"/>
              <w:rPr/>
            </w:pPr>
            <w:r>
              <w:rPr/>
              <w:t> </w:t>
            </w:r>
          </w:p>
        </w:tc>
        <w:tc>
          <w:tcPr>
            <w:tcW w:w="21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r>
      <w:tr>
        <w:trPr/>
        <w:tc>
          <w:tcPr>
            <w:tcW w:w="30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8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 3.1%</w:t>
            </w:r>
          </w:p>
        </w:tc>
      </w:tr>
      <w:tr>
        <w:trPr/>
        <w:tc>
          <w:tcPr>
            <w:tcW w:w="30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8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120.3% – 132.8%</w:t>
            </w:r>
          </w:p>
        </w:tc>
      </w:tr>
      <w:tr>
        <w:trPr/>
        <w:tc>
          <w:tcPr>
            <w:tcW w:w="30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exit horizon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8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 – 6.0 years</w:t>
            </w:r>
          </w:p>
        </w:tc>
      </w:tr>
      <w:tr>
        <w:trPr/>
        <w:tc>
          <w:tcPr>
            <w:tcW w:w="30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underlying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96.16 – €100.48</w:t>
            </w:r>
          </w:p>
        </w:tc>
      </w:tr>
    </w:tbl>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Risk-free rate:    the risk-free rate applied in the valuation corresponds to the yield on French government bonds, using a maturity consistent with the expected exit horizon.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Volatility analysis:    the volatility assumption is derived from the observed share-price volatility of publicly listed companies operating in an industry comparable to Pasqal. The selected volatilities are measured over periods aligned with the various exit scenarios considered. Volatility is calculated on a weekly basis and subsequently annualized.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Exit date assumption:    a probabilistic distribution of potential exit dates is applied.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Fair value of the underlying share:    The valuation of the common shares is indirectly derived from the overall valuation of the Group. The total equity value is projected using a Monte Carlo simulation, incorporating assumptions regarding share price volatility and the expected timing of an exit event (based on the same assumptions as those used as inputs for the options).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each simulated exit scenario, the corresponding equity value is allocated across the various classes of shares in accordance with their respective economic rights. The fair value of Pasqal’s common shares is therefore determined as the average of the simulated values attributable to common shares, discounted at the risk-free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assumptions are not necessarily indicative of exercise patterns that may occur.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Deferred income from government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Breakdown of deferred income from government grants is as follows:</w:t>
      </w:r>
    </w:p>
    <w:tbl>
      <w:tblPr>
        <w:tblW w:w="8545" w:type="dxa"/>
        <w:jc w:val="left"/>
        <w:tblInd w:w="0" w:type="dxa"/>
        <w:tblLayout w:type="fixed"/>
        <w:tblCellMar>
          <w:top w:w="0" w:type="dxa"/>
          <w:left w:w="0" w:type="dxa"/>
          <w:bottom w:w="0" w:type="dxa"/>
          <w:right w:w="0" w:type="dxa"/>
        </w:tblCellMar>
      </w:tblPr>
      <w:tblGrid>
        <w:gridCol w:w="5641"/>
        <w:gridCol w:w="146"/>
        <w:gridCol w:w="991"/>
        <w:gridCol w:w="146"/>
        <w:gridCol w:w="1621"/>
      </w:tblGrid>
      <w:tr>
        <w:trPr/>
        <w:tc>
          <w:tcPr>
            <w:tcW w:w="5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5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 – non-current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10,023</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9,484</w:t>
            </w:r>
          </w:p>
        </w:tc>
      </w:tr>
      <w:tr>
        <w:trPr/>
        <w:tc>
          <w:tcPr>
            <w:tcW w:w="5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 – current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6,931</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7,409</w:t>
            </w:r>
          </w:p>
        </w:tc>
      </w:tr>
      <w:tr>
        <w:trPr/>
        <w:tc>
          <w:tcPr>
            <w:tcW w:w="5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income from Government grants</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16,955</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16,893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deferred income from government grants mainly includes: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2,209 thousand related to Pasquops, recognized as non-current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1,081 thousand related to EIC Accelerator program, of which €582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1,269 thousand related to i-Nov, of which €1,250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987 thousand related to i-Demo, of which €741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946 thousand related to Panda, recorded as 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622 thousand related to CEPREQ, of which €457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3,847 thousand related to the grant component of the BPI, Pasqal Canada Investissement Québec and IFA loans, classified as 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2,716 thousand related to the Korean grant, of which €1,901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1,914 thousand related to the French Research Tax Credit (“CIR”), recognized as non-current deferred income from government grants.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Contract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movements during the period</w:t>
      </w:r>
    </w:p>
    <w:tbl>
      <w:tblPr>
        <w:tblW w:w="6059" w:type="dxa"/>
        <w:jc w:val="left"/>
        <w:tblInd w:w="0" w:type="dxa"/>
        <w:tblLayout w:type="fixed"/>
        <w:tblCellMar>
          <w:top w:w="0" w:type="dxa"/>
          <w:left w:w="0" w:type="dxa"/>
          <w:bottom w:w="0" w:type="dxa"/>
          <w:right w:w="0" w:type="dxa"/>
        </w:tblCellMar>
      </w:tblPr>
      <w:tblGrid>
        <w:gridCol w:w="4711"/>
        <w:gridCol w:w="146"/>
        <w:gridCol w:w="916"/>
        <w:gridCol w:w="286"/>
      </w:tblGrid>
      <w:tr>
        <w:trPr/>
        <w:tc>
          <w:tcPr>
            <w:tcW w:w="47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Contract</w:t>
              <w:br/>
              <w:t>liabilities</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January 1,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Billings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 from contract liabilities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accretion increase(1)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accretion release to revenue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22,977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Billings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 from contract liabilities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accretion increase(1)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accretion release to revenue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June 30, 2026</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accretion reflects the unwinding of discount related to significant financing component identified under IFRS 15.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Contract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period ended June 30, 2026, the increase mainly reflects the timing difference between the Group’s billing schedule and the satisfaction of its performance obligations, notably with respect to DistriQ.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recognized in respect of the significant financing component amounted to €1,185 thousand for the period ended June 30, 2026 and €1,251 thousand for the period ended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contract liabilities are expected to be settled within the Group’s normal operating cycle and are therefore classified as current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Revenue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 Breakdown of revenue</w:t>
      </w:r>
    </w:p>
    <w:tbl>
      <w:tblPr>
        <w:tblW w:w="5695" w:type="dxa"/>
        <w:jc w:val="left"/>
        <w:tblInd w:w="0" w:type="dxa"/>
        <w:tblLayout w:type="fixed"/>
        <w:tblCellMar>
          <w:top w:w="0" w:type="dxa"/>
          <w:left w:w="0" w:type="dxa"/>
          <w:bottom w:w="0" w:type="dxa"/>
          <w:right w:w="0" w:type="dxa"/>
        </w:tblCellMar>
      </w:tblPr>
      <w:tblGrid>
        <w:gridCol w:w="3376"/>
        <w:gridCol w:w="146"/>
        <w:gridCol w:w="991"/>
        <w:gridCol w:w="146"/>
        <w:gridCol w:w="1036"/>
      </w:tblGrid>
      <w:tr>
        <w:trPr/>
        <w:tc>
          <w:tcPr>
            <w:tcW w:w="33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six-month </w:t>
              <w:br/>
              <w:t>period ended</w:t>
            </w:r>
          </w:p>
        </w:tc>
      </w:tr>
      <w:tr>
        <w:trPr/>
        <w:tc>
          <w:tcPr>
            <w:tcW w:w="33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33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sales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QPU-related services(1)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3,944</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2,943</w:t>
            </w:r>
          </w:p>
        </w:tc>
      </w:tr>
      <w:tr>
        <w:trPr/>
        <w:tc>
          <w:tcPr>
            <w:tcW w:w="33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w:t>
            </w:r>
          </w:p>
        </w:tc>
      </w:tr>
      <w:tr>
        <w:trPr/>
        <w:tc>
          <w:tcPr>
            <w:tcW w:w="33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by products or services</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4,872</w:t>
            </w:r>
          </w:p>
        </w:tc>
        <w:tc>
          <w:tcPr>
            <w:tcW w:w="146" w:type="dxa"/>
            <w:tcBorders/>
            <w:vAlign w:val="bottom"/>
          </w:tcPr>
          <w:p>
            <w:pPr>
              <w:pStyle w:val="TableContents"/>
              <w:bidi w:val="0"/>
              <w:spacing w:before="0" w:after="283"/>
              <w:jc w:val="left"/>
              <w:rPr/>
            </w:pPr>
            <w:r>
              <w:rPr/>
              <w:t> </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4,286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QPU-related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services are mainly made of R&amp;D services for €2,889 thousand (€2,943 thousand in 2025) and QPU upgrade services for €750 thousand (nil in 2025).</w:t>
      </w:r>
    </w:p>
    <w:tbl>
      <w:tblPr>
        <w:tblW w:w="6321" w:type="dxa"/>
        <w:jc w:val="left"/>
        <w:tblInd w:w="0" w:type="dxa"/>
        <w:tblLayout w:type="fixed"/>
        <w:tblCellMar>
          <w:top w:w="0" w:type="dxa"/>
          <w:left w:w="0" w:type="dxa"/>
          <w:bottom w:w="0" w:type="dxa"/>
          <w:right w:w="0" w:type="dxa"/>
        </w:tblCellMar>
      </w:tblPr>
      <w:tblGrid>
        <w:gridCol w:w="1846"/>
        <w:gridCol w:w="146"/>
        <w:gridCol w:w="991"/>
        <w:gridCol w:w="146"/>
        <w:gridCol w:w="571"/>
        <w:gridCol w:w="361"/>
        <w:gridCol w:w="146"/>
        <w:gridCol w:w="991"/>
        <w:gridCol w:w="146"/>
        <w:gridCol w:w="571"/>
        <w:gridCol w:w="406"/>
      </w:tblGrid>
      <w:tr>
        <w:trPr/>
        <w:tc>
          <w:tcPr>
            <w:tcW w:w="184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vMerge w:val="restart"/>
            <w:tcBorders/>
            <w:vAlign w:val="bottom"/>
          </w:tcPr>
          <w:p>
            <w:pPr>
              <w:pStyle w:val="TableContents"/>
              <w:bidi w:val="0"/>
              <w:spacing w:before="0" w:after="283"/>
              <w:jc w:val="left"/>
              <w:rPr/>
            </w:pPr>
            <w:r>
              <w:rPr/>
              <w:t> </w:t>
            </w:r>
          </w:p>
        </w:tc>
        <w:tc>
          <w:tcPr>
            <w:tcW w:w="4329" w:type="dxa"/>
            <w:gridSpan w:val="9"/>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six-month period ended</w:t>
            </w:r>
          </w:p>
        </w:tc>
      </w:tr>
      <w:tr>
        <w:trPr/>
        <w:tc>
          <w:tcPr>
            <w:tcW w:w="18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c>
          <w:tcPr>
            <w:tcW w:w="146" w:type="dxa"/>
            <w:tcBorders/>
            <w:vAlign w:val="bottom"/>
          </w:tcPr>
          <w:p>
            <w:pPr>
              <w:pStyle w:val="TableContents"/>
              <w:bidi w:val="0"/>
              <w:spacing w:before="0" w:after="283"/>
              <w:jc w:val="left"/>
              <w:rPr/>
            </w:pPr>
            <w:r>
              <w:rPr/>
              <w:t> </w:t>
            </w:r>
          </w:p>
        </w:tc>
        <w:tc>
          <w:tcPr>
            <w:tcW w:w="9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8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3,145</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3,213</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 of Europe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Saudi Arabia</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North America</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Asia Pacific</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 of the world</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4,872</w:t>
            </w:r>
          </w:p>
        </w:tc>
        <w:tc>
          <w:tcPr>
            <w:tcW w:w="146" w:type="dxa"/>
            <w:tcBorders/>
            <w:vAlign w:val="bottom"/>
          </w:tcPr>
          <w:p>
            <w:pPr>
              <w:pStyle w:val="TableContents"/>
              <w:bidi w:val="0"/>
              <w:spacing w:before="0" w:after="283"/>
              <w:jc w:val="left"/>
              <w:rPr/>
            </w:pPr>
            <w:r>
              <w:rPr/>
              <w:t> </w:t>
            </w:r>
          </w:p>
        </w:tc>
        <w:tc>
          <w:tcPr>
            <w:tcW w:w="5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4,286</w:t>
            </w:r>
          </w:p>
        </w:tc>
        <w:tc>
          <w:tcPr>
            <w:tcW w:w="146" w:type="dxa"/>
            <w:tcBorders/>
            <w:vAlign w:val="bottom"/>
          </w:tcPr>
          <w:p>
            <w:pPr>
              <w:pStyle w:val="TableContents"/>
              <w:bidi w:val="0"/>
              <w:spacing w:before="0" w:after="283"/>
              <w:jc w:val="left"/>
              <w:rPr/>
            </w:pPr>
            <w:r>
              <w:rPr/>
              <w:t> </w:t>
            </w:r>
          </w:p>
        </w:tc>
        <w:tc>
          <w:tcPr>
            <w:tcW w:w="5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two customers each accounted for more than 10% of the Group’s consolidated revenue, generated from QPU-related services in France and Germany. These two customers together accounted for 66% of the Group’s consolidated revenue (€3,206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2025, one customer accounted for more than 10% of the Group’s consolidated revenue, generated from QPU-related services in France. This customer accounted for 51% of the Group’s consolidated revenue (€2,200 thousand).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Revenue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 Remaining performance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the order book (firm orders not fulfilled) and the provisional schedule for the fulfilment of the unfulfilled performance obligations is as follows:</w:t>
      </w:r>
    </w:p>
    <w:tbl>
      <w:tblPr>
        <w:tblW w:w="6043" w:type="dxa"/>
        <w:jc w:val="left"/>
        <w:tblInd w:w="0" w:type="dxa"/>
        <w:tblLayout w:type="fixed"/>
        <w:tblCellMar>
          <w:top w:w="0" w:type="dxa"/>
          <w:left w:w="0" w:type="dxa"/>
          <w:bottom w:w="0" w:type="dxa"/>
          <w:right w:w="0" w:type="dxa"/>
        </w:tblCellMar>
      </w:tblPr>
      <w:tblGrid>
        <w:gridCol w:w="4861"/>
        <w:gridCol w:w="146"/>
        <w:gridCol w:w="1036"/>
      </w:tblGrid>
      <w:tr>
        <w:trPr/>
        <w:tc>
          <w:tcPr>
            <w:tcW w:w="48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r>
      <w:tr>
        <w:trPr/>
        <w:tc>
          <w:tcPr>
            <w:tcW w:w="48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the second half of 2026</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12,491</w:t>
            </w:r>
          </w:p>
        </w:tc>
      </w:tr>
      <w:tr>
        <w:trPr/>
        <w:tc>
          <w:tcPr>
            <w:tcW w:w="48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2027 and beyond</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24,300</w:t>
            </w:r>
          </w:p>
        </w:tc>
      </w:tr>
      <w:tr>
        <w:trPr/>
        <w:tc>
          <w:tcPr>
            <w:tcW w:w="48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order book</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36,791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Unfulfilled performance obligations as of December 31, 2025 were as follows:</w:t>
      </w:r>
    </w:p>
    <w:tbl>
      <w:tblPr>
        <w:tblW w:w="6013" w:type="dxa"/>
        <w:jc w:val="left"/>
        <w:tblInd w:w="0" w:type="dxa"/>
        <w:tblLayout w:type="fixed"/>
        <w:tblCellMar>
          <w:top w:w="0" w:type="dxa"/>
          <w:left w:w="0" w:type="dxa"/>
          <w:bottom w:w="0" w:type="dxa"/>
          <w:right w:w="0" w:type="dxa"/>
        </w:tblCellMar>
      </w:tblPr>
      <w:tblGrid>
        <w:gridCol w:w="4246"/>
        <w:gridCol w:w="146"/>
        <w:gridCol w:w="1621"/>
      </w:tblGrid>
      <w:tr>
        <w:trPr/>
        <w:tc>
          <w:tcPr>
            <w:tcW w:w="42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4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2026</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15,288</w:t>
            </w:r>
          </w:p>
        </w:tc>
      </w:tr>
      <w:tr>
        <w:trPr/>
        <w:tc>
          <w:tcPr>
            <w:tcW w:w="4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2027 and beyond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20,144</w:t>
            </w:r>
          </w:p>
        </w:tc>
      </w:tr>
      <w:tr>
        <w:trPr/>
        <w:tc>
          <w:tcPr>
            <w:tcW w:w="4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order book</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35,432</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expected revenue was included for Quebec Inc. due to the significant uncertainty on variable consideration.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Professional services and other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External services primarily comprise fees for outsourced activities, including external professional services, lease expenses that fall outside the scope of IFRS 16 — Leases, and other miscellaneous expenses. For the six-month period ended June 30, 2026, professional services and other services amounted to €19,553 thousand (compared with €8,261 thousand for the six-month period ended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was primarily driven by higher fees for external professional services fees, which amounted to €15,501 thousand for the six-month ended June 30, 2026, compared with €4,552 thousand for the corresponding period in 2025. These fees mainly comprise legal, consulting and audit fees incurred in connection with the completion of the Business Combination Agreement and the related listing process (see Note 20 for further details).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allocation of income tax expense between current and deferred taxes:</w:t>
      </w:r>
    </w:p>
    <w:tbl>
      <w:tblPr>
        <w:tblW w:w="5306" w:type="dxa"/>
        <w:jc w:val="left"/>
        <w:tblInd w:w="0" w:type="dxa"/>
        <w:tblLayout w:type="fixed"/>
        <w:tblCellMar>
          <w:top w:w="0" w:type="dxa"/>
          <w:left w:w="0" w:type="dxa"/>
          <w:bottom w:w="0" w:type="dxa"/>
          <w:right w:w="0" w:type="dxa"/>
        </w:tblCellMar>
      </w:tblPr>
      <w:tblGrid>
        <w:gridCol w:w="1696"/>
        <w:gridCol w:w="146"/>
        <w:gridCol w:w="928"/>
        <w:gridCol w:w="451"/>
        <w:gridCol w:w="257"/>
        <w:gridCol w:w="1828"/>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6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six-month period ended</w:t>
            </w:r>
          </w:p>
        </w:tc>
      </w:tr>
      <w:tr>
        <w:trPr/>
        <w:tc>
          <w:tcPr>
            <w:tcW w:w="16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257" w:type="dxa"/>
            <w:tcBorders/>
            <w:vAlign w:val="bottom"/>
          </w:tcPr>
          <w:p>
            <w:pPr>
              <w:pStyle w:val="TableContents"/>
              <w:bidi w:val="0"/>
              <w:spacing w:before="0" w:after="283"/>
              <w:jc w:val="left"/>
              <w:rPr/>
            </w:pPr>
            <w:r>
              <w:rPr/>
              <w:t> </w:t>
            </w:r>
          </w:p>
        </w:tc>
        <w:tc>
          <w:tcPr>
            <w:tcW w:w="182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16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7"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r>
      <w:tr>
        <w:trPr/>
        <w:tc>
          <w:tcPr>
            <w:tcW w:w="16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7" w:type="dxa"/>
            <w:tcBorders/>
            <w:vAlign w:val="bottom"/>
          </w:tcPr>
          <w:p>
            <w:pPr>
              <w:pStyle w:val="TableContents"/>
              <w:bidi w:val="0"/>
              <w:spacing w:before="0" w:after="283"/>
              <w:jc w:val="left"/>
              <w:rPr/>
            </w:pPr>
            <w:r>
              <w:rPr/>
              <w:t> </w:t>
            </w:r>
          </w:p>
        </w:tc>
        <w:tc>
          <w:tcPr>
            <w:tcW w:w="18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16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w:t>
            </w:r>
          </w:p>
        </w:tc>
        <w:tc>
          <w:tcPr>
            <w:tcW w:w="146" w:type="dxa"/>
            <w:tcBorders/>
            <w:shd w:fill="CCEEFF" w:val="clear"/>
            <w:vAlign w:val="bottom"/>
          </w:tcPr>
          <w:p>
            <w:pPr>
              <w:pStyle w:val="TableContents"/>
              <w:bidi w:val="0"/>
              <w:spacing w:before="0" w:after="283"/>
              <w:jc w:val="left"/>
              <w:rPr/>
            </w:pPr>
            <w:r>
              <w:rPr/>
              <w:t> </w:t>
            </w:r>
          </w:p>
        </w:tc>
        <w:tc>
          <w:tcPr>
            <w:tcW w:w="9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4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257" w:type="dxa"/>
            <w:tcBorders/>
            <w:shd w:fill="CCEEFF" w:val="clear"/>
            <w:vAlign w:val="bottom"/>
          </w:tcPr>
          <w:p>
            <w:pPr>
              <w:pStyle w:val="TableContents"/>
              <w:bidi w:val="0"/>
              <w:spacing w:before="0" w:after="283"/>
              <w:jc w:val="left"/>
              <w:rPr/>
            </w:pPr>
            <w:r>
              <w:rPr/>
              <w:t> </w:t>
            </w:r>
          </w:p>
        </w:tc>
        <w:tc>
          <w:tcPr>
            <w:tcW w:w="18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difference between the theoretical tax charge and the actual income tax expense mainly results from tax losses carried forward for which no deferred tax assets have been recognized.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calculation of the basic and diluted earnings per share.</w:t>
      </w:r>
    </w:p>
    <w:tbl>
      <w:tblPr>
        <w:tblW w:w="10205" w:type="dxa"/>
        <w:jc w:val="left"/>
        <w:tblInd w:w="0" w:type="dxa"/>
        <w:tblLayout w:type="fixed"/>
        <w:tblCellMar>
          <w:top w:w="0" w:type="dxa"/>
          <w:left w:w="0" w:type="dxa"/>
          <w:bottom w:w="0" w:type="dxa"/>
          <w:right w:w="0" w:type="dxa"/>
        </w:tblCellMar>
      </w:tblPr>
      <w:tblGrid>
        <w:gridCol w:w="7104"/>
        <w:gridCol w:w="146"/>
        <w:gridCol w:w="1126"/>
        <w:gridCol w:w="256"/>
        <w:gridCol w:w="146"/>
        <w:gridCol w:w="1126"/>
        <w:gridCol w:w="301"/>
      </w:tblGrid>
      <w:tr>
        <w:trPr/>
        <w:tc>
          <w:tcPr>
            <w:tcW w:w="71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710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7104"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period from continuing operations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(53,236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(26,118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0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attributable to common shareholders from continuing operations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(26,118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1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710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7104"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outstanding used in computing basic loss per share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8,021,947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6,923,000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0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per share – basic</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Group reported a loss of €53,236 thousand for the period ended June 30, 2026 (€26,118 thousand for the period ended June 30, 2025), diluted loss per share excludes all instruments that could potentially dilute earnings per share in the future periods. They were not included in the calculation of diluted earnings per share because they are antidilutive for the period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above, the ORAs outstanding prior to their conversion into ordinary shares on 2 March 2026 had a dilutive effect on earnings per share for the six-month period ended 30 June 2026, primarily as a result of the fair value remeasurement gain recognized prior to conversion (see Note 9). Accordingly, diluted loss per share amounted to €7.3, compared with the basic loss per share of €6.6. The calculation of diluted loss per share for the period is presented below. No comparable dilutive effect was recognized in the six-month period ended 30 June 2025. Accordingly, diluted loss per share was identical to basic loss per share.</w:t>
      </w:r>
    </w:p>
    <w:tbl>
      <w:tblPr>
        <w:tblW w:w="9432" w:type="dxa"/>
        <w:jc w:val="left"/>
        <w:tblInd w:w="0" w:type="dxa"/>
        <w:tblLayout w:type="fixed"/>
        <w:tblCellMar>
          <w:top w:w="0" w:type="dxa"/>
          <w:left w:w="0" w:type="dxa"/>
          <w:bottom w:w="0" w:type="dxa"/>
          <w:right w:w="0" w:type="dxa"/>
        </w:tblCellMar>
      </w:tblPr>
      <w:tblGrid>
        <w:gridCol w:w="6061"/>
        <w:gridCol w:w="146"/>
        <w:gridCol w:w="1261"/>
        <w:gridCol w:w="256"/>
        <w:gridCol w:w="146"/>
        <w:gridCol w:w="1261"/>
        <w:gridCol w:w="301"/>
      </w:tblGrid>
      <w:tr>
        <w:trPr/>
        <w:tc>
          <w:tcPr>
            <w:tcW w:w="6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60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606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period from continuing operations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(53,236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(26,118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6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change of fair value of ORA before conversion</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Loss for the period</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(60,284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(26,118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60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606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shares for basic loss per share</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8,021,947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6,923,000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6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Dilutive effect of ORA before conversion</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226,226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weighted average number of diluted shares</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8,248,173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6,923,000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60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per share – diluted</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total number of ordinary shares and potential ordinary shares related to instruments that could potentially dilute basic earnings per share amounted to 10,209,577 (as of June 30, 2025: 7,964,184), including contingently issuable upon settlement of contingent consideration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potentially dilutive instruments consisted of 1,407,521 BSPCEs (as of June 30, 2025: 800,300), 15,885 other equity-settled instruments (as of June 30, 2025: 26,270), and 107,307 shares related to contingent consideration arrangements granted to the former shareholders of Aeponyx (as of June 30, 2025: 214,614). See Notes 8, 10 and 17 for further details on these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June 30, 2026, the Company completed the March 2026 Financing, which included the issuance of Convertible Bonds initially convertible into 26,041,667 ordinary shares and 32,552,083 Warrants exercisable for ordinary shares. As these instruments were issued after the reporting date, they were not included in the calculation of potentially dilutive instruments. See Note 20.4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17. Related party disclosures</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17.1. Related parties transactions and balances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Transactions and balances (excluding KMP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 mainly relate to shareholders, directors and entities controlled or significantly influenced by members of the Group’s key management personnel or Supervisory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transactions and balances with related parties occurred during the period:</w:t>
      </w:r>
    </w:p>
    <w:tbl>
      <w:tblPr>
        <w:tblW w:w="6086" w:type="dxa"/>
        <w:jc w:val="left"/>
        <w:tblInd w:w="0" w:type="dxa"/>
        <w:tblLayout w:type="fixed"/>
        <w:tblCellMar>
          <w:top w:w="0" w:type="dxa"/>
          <w:left w:w="0" w:type="dxa"/>
          <w:bottom w:w="0" w:type="dxa"/>
          <w:right w:w="0" w:type="dxa"/>
        </w:tblCellMar>
      </w:tblPr>
      <w:tblGrid>
        <w:gridCol w:w="3151"/>
        <w:gridCol w:w="146"/>
        <w:gridCol w:w="781"/>
        <w:gridCol w:w="241"/>
        <w:gridCol w:w="146"/>
        <w:gridCol w:w="1230"/>
        <w:gridCol w:w="391"/>
      </w:tblGrid>
      <w:tr>
        <w:trPr/>
        <w:tc>
          <w:tcPr>
            <w:tcW w:w="31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3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Receivables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2,493</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3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(24,461</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grants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(5,454</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5065" w:type="dxa"/>
        <w:jc w:val="left"/>
        <w:tblInd w:w="0" w:type="dxa"/>
        <w:tblLayout w:type="fixed"/>
        <w:tblCellMar>
          <w:top w:w="0" w:type="dxa"/>
          <w:left w:w="0" w:type="dxa"/>
          <w:bottom w:w="0" w:type="dxa"/>
          <w:right w:w="0" w:type="dxa"/>
        </w:tblCellMar>
      </w:tblPr>
      <w:tblGrid>
        <w:gridCol w:w="2746"/>
        <w:gridCol w:w="146"/>
        <w:gridCol w:w="707"/>
        <w:gridCol w:w="284"/>
        <w:gridCol w:w="146"/>
        <w:gridCol w:w="701"/>
        <w:gridCol w:w="335"/>
      </w:tblGrid>
      <w:tr>
        <w:trPr/>
        <w:tc>
          <w:tcPr>
            <w:tcW w:w="2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27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27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w:t>
            </w:r>
          </w:p>
        </w:tc>
        <w:tc>
          <w:tcPr>
            <w:tcW w:w="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w:t>
            </w:r>
          </w:p>
        </w:tc>
        <w:tc>
          <w:tcPr>
            <w:tcW w:w="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Expenses</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27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28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w:t>
            </w:r>
          </w:p>
        </w:tc>
        <w:tc>
          <w:tcPr>
            <w:tcW w:w="3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28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3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Key management personnel (KMP)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management personnel comprise members of Group’s executive management team and members of Supervisory Board who have authority and responsibility for planning, directing and controlling the activities of the Group. As of June 30, 2026, key management personnel consist of 17 individuals (as of June 30, 2025: 10 individuals), including individuals who ceased their functions during the period.</w:t>
      </w:r>
    </w:p>
    <w:tbl>
      <w:tblPr>
        <w:tblW w:w="9807" w:type="dxa"/>
        <w:jc w:val="left"/>
        <w:tblInd w:w="0" w:type="dxa"/>
        <w:tblLayout w:type="fixed"/>
        <w:tblCellMar>
          <w:top w:w="0" w:type="dxa"/>
          <w:left w:w="0" w:type="dxa"/>
          <w:bottom w:w="0" w:type="dxa"/>
          <w:right w:w="0" w:type="dxa"/>
        </w:tblCellMar>
      </w:tblPr>
      <w:tblGrid>
        <w:gridCol w:w="7081"/>
        <w:gridCol w:w="146"/>
        <w:gridCol w:w="1006"/>
        <w:gridCol w:w="256"/>
        <w:gridCol w:w="146"/>
        <w:gridCol w:w="871"/>
        <w:gridCol w:w="301"/>
      </w:tblGrid>
      <w:tr>
        <w:trPr/>
        <w:tc>
          <w:tcPr>
            <w:tcW w:w="70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70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short-term benefits</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expense</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payment transactions(1)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compensation recognized to key management personnel</w:t>
            </w:r>
          </w:p>
        </w:tc>
        <w:tc>
          <w:tcPr>
            <w:tcW w:w="146" w:type="dxa"/>
            <w:tcBorders/>
            <w:vAlign w:val="bottom"/>
          </w:tcPr>
          <w:p>
            <w:pPr>
              <w:pStyle w:val="TableContents"/>
              <w:bidi w:val="0"/>
              <w:spacing w:before="0" w:after="283"/>
              <w:jc w:val="left"/>
              <w:rPr/>
            </w:pPr>
            <w:r>
              <w:rPr/>
              <w:t> </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(25,633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increase in share-based payment expense in the period ended June 30, 2026 mainly relates to the recognition of share-based compensation expense related to BSPCE grants awarded during 2026. See Notes 8.3 and 10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amounts disclosed above represent expenses recognized in profit or loss during the reporting period in respect of key management personnel.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17. Related party disclosures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17.2. Commitments with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committed to issue a maximum of 107,307 contingent consideration shares in connection with the acquisition of Aeponyx to former owners of Aeponyx, who became members of key management personnel following the acquisition. See Note 20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18. Off-balance-sheet commitments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 Commitments given</w:t>
      </w:r>
    </w:p>
    <w:tbl>
      <w:tblPr>
        <w:tblW w:w="9265" w:type="dxa"/>
        <w:jc w:val="left"/>
        <w:tblInd w:w="0" w:type="dxa"/>
        <w:tblLayout w:type="fixed"/>
        <w:tblCellMar>
          <w:top w:w="0" w:type="dxa"/>
          <w:left w:w="0" w:type="dxa"/>
          <w:bottom w:w="0" w:type="dxa"/>
          <w:right w:w="0" w:type="dxa"/>
        </w:tblCellMar>
      </w:tblPr>
      <w:tblGrid>
        <w:gridCol w:w="6361"/>
        <w:gridCol w:w="146"/>
        <w:gridCol w:w="991"/>
        <w:gridCol w:w="146"/>
        <w:gridCol w:w="1621"/>
      </w:tblGrid>
      <w:tr>
        <w:trPr/>
        <w:tc>
          <w:tcPr>
            <w:tcW w:w="6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63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Guarantees and collateral granted in connection with financing </w:t>
              <w:br/>
              <w:t>arrangements(a)</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22,413</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22,089</w:t>
            </w:r>
          </w:p>
        </w:tc>
      </w:tr>
      <w:tr>
        <w:trPr/>
        <w:tc>
          <w:tcPr>
            <w:tcW w:w="63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commitments given(b)</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21,735</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21,218</w:t>
            </w:r>
          </w:p>
        </w:tc>
      </w:tr>
      <w:tr>
        <w:trPr/>
        <w:tc>
          <w:tcPr>
            <w:tcW w:w="63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44,148</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43,307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      Guarantees and collateral granted in connection with financing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These commitments mainly comprise: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a corporate guarantee granted by Pasqal S.A.S in connection with the USD 15,000 thousand loan entered into by Pasqal USA with the Illinois Finance Authority, amounting to €13,165 thousand as of June 30, 2026;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a corporate guarantee granted by Pasqal S.A.S to Investissement Québec in connection with the CAD 15,000 thousand loan entered into by Pasqal Canada, amounting to €9,248 thousand as of June 30, 2026.</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     Other commitments given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These commitments mainly comprise: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commitments and guarantees entered into in connection with customer contracts, notably the first-demand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bank guarantees issued in connection with the Saudi Aramco and Cineca contracts, amounting respectively to €9,462 and €1,299 thousand as of June 30,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security interests and counter-guarantees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provided in connection with these bank guarantees, comprising: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a pledge granted to HSBC over a receivable relating to a term deposit in connection with the Saudi Aramco guarantee, amounting to €7,570 thousand as of June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30, 2026;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in connection with the Cineca guarantee, a cash collateral pledged to HSBC amounting to €260 thousand and a counter-guarantee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provided by Bpifrance to HSBC amounting to €1,039 thousand as of June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30, 2026;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commitment granted to BDC Capital Inc. in connection with the Aeponyx promissory note amounting to CAD 3,000 thousand (approximately €1,866 thousand) as of June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18. Off-balance-sheet commitments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 Commitments received</w:t>
      </w:r>
    </w:p>
    <w:tbl>
      <w:tblPr>
        <w:tblW w:w="7255" w:type="dxa"/>
        <w:jc w:val="left"/>
        <w:tblInd w:w="0" w:type="dxa"/>
        <w:tblLayout w:type="fixed"/>
        <w:tblCellMar>
          <w:top w:w="0" w:type="dxa"/>
          <w:left w:w="0" w:type="dxa"/>
          <w:bottom w:w="0" w:type="dxa"/>
          <w:right w:w="0" w:type="dxa"/>
        </w:tblCellMar>
      </w:tblPr>
      <w:tblGrid>
        <w:gridCol w:w="4351"/>
        <w:gridCol w:w="146"/>
        <w:gridCol w:w="991"/>
        <w:gridCol w:w="146"/>
        <w:gridCol w:w="1621"/>
      </w:tblGrid>
      <w:tr>
        <w:trPr/>
        <w:tc>
          <w:tcPr>
            <w:tcW w:w="4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43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Investissement Québec facility</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5,983</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6,029</w:t>
            </w:r>
          </w:p>
        </w:tc>
      </w:tr>
      <w:tr>
        <w:trPr/>
        <w:tc>
          <w:tcPr>
            <w:tcW w:w="43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Illinois Finance Authority facility</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7,899</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7,671</w:t>
            </w:r>
          </w:p>
        </w:tc>
      </w:tr>
      <w:tr>
        <w:trPr/>
        <w:tc>
          <w:tcPr>
            <w:tcW w:w="43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Korean government grant facility</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10,865</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11,168</w:t>
            </w:r>
          </w:p>
        </w:tc>
      </w:tr>
      <w:tr>
        <w:trPr/>
        <w:tc>
          <w:tcPr>
            <w:tcW w:w="43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commitments received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3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25,307</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24,868</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Group had access to an undrawn credit facility with Investissement Québec amounting to CAD 9,704 (approximately €5,983 thousand) thousand, out of a total available facility of CAD 15,000 thousand (approximately €9,248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benefits from a financing arrangement with the Illinois Finance Authority totaling USD 15,000 thousand (approximately €13,165 thousand), of which USD 6,000 thousand (approximately €5,266 thousand) had been drawn as of June 30, 2026, leaving USD 9,000 thousand (approximately €7,899 thousand) available for future drawdown.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has access to the residual undrawn portion of the cash grant agreement entered into with the Korean Government on November 7, 2025, for a maximum total amount of KRW 24 billion (approximately €14,000 thousand), of which €2,716 thousand had been received as of June 30, 2026 and recognized as deferred income (see Note 11). The undrawn portion remains available subject to the Group’s continued compliance with the conditions of the agreement, including committed investment expenditures, employment targets and use of funds for eligible cost categories.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19. Changes in working capital related to operating activities</w:t>
      </w:r>
    </w:p>
    <w:tbl>
      <w:tblPr>
        <w:tblW w:w="10032" w:type="dxa"/>
        <w:jc w:val="left"/>
        <w:tblInd w:w="0" w:type="dxa"/>
        <w:tblLayout w:type="fixed"/>
        <w:tblCellMar>
          <w:top w:w="0" w:type="dxa"/>
          <w:left w:w="0" w:type="dxa"/>
          <w:bottom w:w="0" w:type="dxa"/>
          <w:right w:w="0" w:type="dxa"/>
        </w:tblCellMar>
      </w:tblPr>
      <w:tblGrid>
        <w:gridCol w:w="7171"/>
        <w:gridCol w:w="146"/>
        <w:gridCol w:w="1006"/>
        <w:gridCol w:w="256"/>
        <w:gridCol w:w="146"/>
        <w:gridCol w:w="1006"/>
        <w:gridCol w:w="301"/>
      </w:tblGrid>
      <w:tr>
        <w:trPr/>
        <w:tc>
          <w:tcPr>
            <w:tcW w:w="71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7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OPERATING ACTIVITIES</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7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net loss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(53,236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(26,118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7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PPE, amortization of intangible assets and impairments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provisions</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Equity-settled share-based payments &amp; other personnel expense(1)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23,391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and losses on disposal of assets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 – non-cash items</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 non-cash items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operating working capital</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used in operating activities</w:t>
            </w:r>
          </w:p>
        </w:tc>
        <w:tc>
          <w:tcPr>
            <w:tcW w:w="146" w:type="dxa"/>
            <w:tcBorders/>
            <w:shd w:fill="CCEEFF" w:val="clear"/>
            <w:vAlign w:val="bottom"/>
          </w:tcPr>
          <w:p>
            <w:pPr>
              <w:pStyle w:val="TableContents"/>
              <w:bidi w:val="0"/>
              <w:spacing w:before="0" w:after="283"/>
              <w:jc w:val="left"/>
              <w:rPr/>
            </w:pPr>
            <w:r>
              <w:rPr/>
              <w:t> </w:t>
            </w:r>
          </w:p>
        </w:tc>
        <w:tc>
          <w:tcPr>
            <w:tcW w:w="10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(25,194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(19,956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Includes equity-settled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share-based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payment expense for €23,334 thousand (€559 thousand in 2025) and expense relating to post-combination</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services in relation with the MCF acquisition for €56 thousand (€133 thousand in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19. Changes in working capital related to operating activities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operating working capital is disclosed below:</w:t>
      </w:r>
    </w:p>
    <w:tbl>
      <w:tblPr>
        <w:tblW w:w="7407" w:type="dxa"/>
        <w:jc w:val="left"/>
        <w:tblInd w:w="0" w:type="dxa"/>
        <w:tblLayout w:type="fixed"/>
        <w:tblCellMar>
          <w:top w:w="0" w:type="dxa"/>
          <w:left w:w="0" w:type="dxa"/>
          <w:bottom w:w="0" w:type="dxa"/>
          <w:right w:w="0" w:type="dxa"/>
        </w:tblCellMar>
      </w:tblPr>
      <w:tblGrid>
        <w:gridCol w:w="5011"/>
        <w:gridCol w:w="146"/>
        <w:gridCol w:w="781"/>
        <w:gridCol w:w="241"/>
        <w:gridCol w:w="146"/>
        <w:gridCol w:w="781"/>
        <w:gridCol w:w="301"/>
      </w:tblGrid>
      <w:tr>
        <w:trPr/>
        <w:tc>
          <w:tcPr>
            <w:tcW w:w="50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50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 in operating working capital</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inventories(1)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trade receivables and related accounts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other receivables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trade payables and related accounts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contract liabilities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other liabilities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Difference with the change in inventory in the consolidated statement of profit or loss is mainly explained by items that do not impact profit or loss, including foreign exchange effects and certain reclassifications (see Note 6.3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20. Events after the reporting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 Completion of Business Combination and Listing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5, 2026, the SEC declared effective the registration statement filed in connection with the Business Combination. On August 27, 2026, Bleichroeder, Merger Sub and Pasqal Holding SAS consummated the Business Combination as described in Note 2. Former Pasqal Holding SAS shareholders exchanged their shares for equity interests in New Pasqal using an exchange ratio of approximately 22.736 (the “Exchange Ratio”), resulting in the issuance of 199,999,960 New Pasqal ordinary shares. Upon completion of the Business Combination, the combined company became a publicly traded company and its ordinary shares commenced trading on the Nasdaq stock market under the ticker symbol “PSQL”. In addition, the company’s Warrants commenced trading on Nasdaq under the ticker symbol “PSQLW”.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constitutes a significant non-adjusting subsequent event that did not affect the measurement of assets and liabilities as of June 30, 2026 and therefore has not been reflected in these financial statements. The amount in trust after redemptions amounted to €27.7 million. The Business Combination will be accounted for as a capital reorganization within the scope of IFRS 2. Bleichroeder will be treated as the acquired company for accounting purposes, with Pasqal Holding SAS being the acquirer. The net assets of Bleichroeder will be stated at historical cost, with no goodwill or other intangible assets recorded. In accordance with IFRS 2, any excess of the fair value of New Pasqal ordinary shares issued to Bleichroeder shareholders over the fair value of the identifiable net assets of Bleichroeder acquired represents compensation for the service of a stock exchange listing and will be expensed as incurred. The transaction is expected to result in the recognition of a listing services expense in profit or loss of approximately €115.6 million, representing the excess of the estimated fair value of the New Pasqal ordinary shares issued (approximately €102.5 million) over Bleichroeder’s net liabilities (approximately €13.1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 Groupe reorganization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April 7, 2026, the technical milestone underlying the issuance of 55,384 Milestone Shares in connection with the Aeponyx acquisition was determined to have been successfully achieved. As a result, and following delivery of the notice of the conversion event required under the share purchase agreement, the Milestone Shares were converted automatically into an equivalent number of Exchangeable Shares effective as of August 25, 2026. On August 27, 2026, the Exchangeable Shares then outstanding were acquired by Circuits intégrés photoniques Inc., an indirect wholly owned subsidiary of Pasqal Holding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20. Events after the reporting period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S.A.S., in consideration for the issuance by Pasqal Holding S.A.S. directly to the holders of an equal number of Pasqal Holding S.A.S. Series C shares. This event will be reflected in the Group’s consolidated financial statements for the year ending December 31,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Subsequent to June 30, 2026, and prior to the consummation of the Merger, the Company implemented several modifications to its share-based payment arrangements in connection with its corporate reorganization and the creation of Pasqal Holding SAS, resulting in the issuance of 440,131 BSPCEs. These modifications included: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replacement of outstanding BSPCE awards. The replacement awards were implemented to align existing plans with the post-transaction capital structure and to ensure the continuity of employee and executive participation in the future growth of the Group. As part of this process, an additional 19,070 BSPCEs were granted to preserve the economic position of holders affected by the alignment of existing plans. The modifications will be accounted for prospectively under the IFRS 2 modification guidance. The Company does not expect any material incremental fair value to arise from these modifications.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grant of 12,000 BSPCEs to certain employees. As these awards had not been communicated to the beneficiaries as of June 30, 2026, they do not impact the financial statements for the period then 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connection with the Merger, each BSPCE was assumed by New Pasqal and grants the right to subscribe for ordinary shares, with the number of shares adjusted to reflect the Exchange Ratio provided by the French Merger Agreement dated July 3, 2026, as amended on July 27, 2026. Each BSPCE remains subject to the same terms and conditions as were applicable to the corresponding BSPCE as of immediately prior to the effective time of the Merger (including vesting, exercise period and expiration date).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SAR agreements will be amended by way of an addendum with each beneficiary so that (i) the underlying share used for calculation purposes upon the occurrence of a liquidity event is a share of New Pasqal, and (ii) the liquidity events triggering the payment of the bonus are liquidity events occurring at the level of New Pasqal.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replacement of Pasqal Holding SAS awards with New Pasqal awards shall be subject to modification accounting under IFRS 2. Given that the terms will be substantially the same as those in effect immediately prior to the closing of the Merger, the Company expects no material incremental fair value impact.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August 12, 2026, Pasqal entered into a research collaboration agreement with King Abdulaziz City for Science and Technology (“KACST”), represented by its National Center for Quantum Technologies, to advance research and development in quantum technologies in the Kingdom of Saudi Arabia. The collaboration focuses on the development and validation of quantum-safe cryptographic solutions by combining Pasqal’s neutral-atom quantum computing technology and cloud services with KACST’s research infrastructure. The agreement further expands the Company’s presence in Saudi Arabia and complements its existing activities in the region, including the deployment of QPUs with the Saudi Arabian Oil Company. While the collaboration reflects the parties’ shared intention to explore broader opportunities in quantum technologies, the agreement does not provide for any commercial commitments, and there can be no assurance that the collaboration will result in future commercial arrangements or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17 September 2026, Pasqal announced a strategic partnership with USA Rare Earth and Riven Systems to explore the use of quantum machine learning and automated experimentation to improve rare earth separation processes. The collaboration aims to identify and optimize novel extractant molecules for rare earth processing and further demonstrates the expansion of Pasqal’s quantum computing applications in industrial use cases.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20. Events after the reporting period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20.4.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Substantially concurrently with the Closing, the Company consummated the March 2026 Financing, pursuant to which the Company issued $312.5 million aggregate principal amount of Convertible Bonds, initially convertible into 26,041,667 ordinary shares at an initial conversion price of $12.00 per ordinary share, together with 32,552,083 Warrants initially exercisable at $12.00 per ordinary share subject to certain adjustments as set forth therein, for an aggregate subscription price of $250.0 million, reflecting a 20% original issue discount. The Convertible Bonds require settlement through the delivery of a variable number of the New Pasqal’s own equity instruments and do not meet the criteria for equity classification. Accordingly, the host convertible bond is qualified for and classified as a financial liability in accordance with IAS 32 and is designated as a financial liability measured at fair value through profit or loss (“FVTPL”). The Warrants are freestanding instruments that do not meet the fixed-for-fixed criterion for equity classification and are classified as derivative financial liabilities measured at FVTPL. At initial recognition, both instruments will be measured at their respective fair values and any difference with the total proceeds received will result in a day-one gain or loss. The Company estimates the fair value of the Convertible Bonds and Warrants at approximately €278.5 million and €99.8 million, respectively. As total proceeds amounted to €212.8 million, the transaction is expected to result in a day-one loss of approximately €165.5 million upon issuance.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20.5. Changes in scope of consolidation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24 July 2026, the Group incorporated Pasqal UK Hardware R&amp;D Ltd as a wholly owned subsidiary of Pasqal SAS. The entity was established to support the Group’s research and development activities in quantum computing technologies.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24 August 2026, the Group announced an agreement with Eleven Ventures to establish a joint venture intended to deploy, commercialize and scale Pasqal’s quantum computing systems across the Kingdom of Saudi Arabia and the broader Middle East and North Africa region. The joint venture is expected to support the Group’s international expansion and strengthen its presence in the region.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7012"/>
      <w:bookmarkEnd w:id="39"/>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the Board of Directors and Shareholders of Pasqal: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audited the accompanying consolidated statements of financial position of Pasqal and its subsidiaries (the “Company”) as of December 31, 2025 and December 31, 2024, and the related consolidated statements of profit or loss and other comprehensive income, consolidated statements of changes in equity and consolidated statements of cash flows for the years then ended, including the related notes (collectively referred to as the “consolidated financial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our opinion, the consolidated financial statements present fairly, in all material respects, the financial position of the Company as of December 31, 2025 and December 31, 2024, and the results of its operations and its cash flows for the years then ended in conformity with International Financial Reporting Standards as issued by the International Accounting Standards Board.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PricewaterhouseCoopers Audit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Neuilly-sur-Seine, France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May 26, 2026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served as the Company’s auditor since 2022.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7013"/>
      <w:bookmarkEnd w:id="40"/>
      <w:r>
        <w:rPr>
          <w:rFonts w:ascii="Times New Roman PS Std;serif" w:hAnsi="Times New Roman PS Std;serif"/>
          <w:b/>
          <w:i w:val="false"/>
          <w:caps w:val="false"/>
          <w:smallCaps w:val="false"/>
          <w:sz w:val="20"/>
        </w:rPr>
        <w:t xml:space="preserve">PASQAL SAS </w:t>
        <w:br/>
        <w:t>CONSOLIDATED STATEMENTS OF FINANCIAL POSITION</w:t>
      </w:r>
    </w:p>
    <w:tbl>
      <w:tblPr>
        <w:tblW w:w="9050" w:type="dxa"/>
        <w:jc w:val="left"/>
        <w:tblInd w:w="0" w:type="dxa"/>
        <w:tblLayout w:type="fixed"/>
        <w:tblCellMar>
          <w:top w:w="0" w:type="dxa"/>
          <w:left w:w="0" w:type="dxa"/>
          <w:bottom w:w="0" w:type="dxa"/>
          <w:right w:w="0" w:type="dxa"/>
        </w:tblCellMar>
      </w:tblPr>
      <w:tblGrid>
        <w:gridCol w:w="4531"/>
        <w:gridCol w:w="146"/>
        <w:gridCol w:w="766"/>
        <w:gridCol w:w="146"/>
        <w:gridCol w:w="1330"/>
        <w:gridCol w:w="305"/>
        <w:gridCol w:w="146"/>
        <w:gridCol w:w="1321"/>
        <w:gridCol w:w="359"/>
      </w:tblGrid>
      <w:tr>
        <w:trPr/>
        <w:tc>
          <w:tcPr>
            <w:tcW w:w="45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20,033</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17,451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net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28,119</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8,978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10,583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8,421</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11,202</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83,844</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86,294</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net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11,309</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14,538</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8,181</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9,353</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receivables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4,316</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2,210</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73,762</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103,980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39,713</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187,824</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126,007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capital</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premium</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70,158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131,114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(32,533</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(75,811</w:t>
            </w:r>
          </w:p>
        </w:tc>
        <w:tc>
          <w:tcPr>
            <w:tcW w:w="3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reserves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49,601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25,176</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year</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(92,355</w:t>
            </w:r>
          </w:p>
        </w:tc>
        <w:tc>
          <w:tcPr>
            <w:tcW w:w="30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(48,498</w:t>
            </w:r>
          </w:p>
        </w:tc>
        <w:tc>
          <w:tcPr>
            <w:tcW w:w="35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(4,415</w:t>
            </w:r>
          </w:p>
        </w:tc>
        <w:tc>
          <w:tcPr>
            <w:tcW w:w="305"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32,674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7,640</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9,627</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10,190</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6,839</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9,484</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7.1,17</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14,913</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38,168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45,754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5,529</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22,977</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19,068</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7,409</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8,084</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6,475</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154,070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48,579</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 and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187,824</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126,007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1" w:name="T7014"/>
      <w:bookmarkEnd w:id="41"/>
      <w:r>
        <w:rPr>
          <w:rFonts w:ascii="Times New Roman PS Std;serif" w:hAnsi="Times New Roman PS Std;serif"/>
          <w:b/>
          <w:i w:val="false"/>
          <w:caps w:val="false"/>
          <w:smallCaps w:val="false"/>
          <w:sz w:val="20"/>
        </w:rPr>
        <w:t xml:space="preserve">PASQAL SAS </w:t>
        <w:br/>
        <w:t>CONSOLIDATED STATEMENTS OF PROFIT OR LOSS AND OTHER COMPREHENSIVE INCOME</w:t>
      </w:r>
    </w:p>
    <w:tbl>
      <w:tblPr>
        <w:tblW w:w="9547" w:type="dxa"/>
        <w:jc w:val="left"/>
        <w:tblInd w:w="0" w:type="dxa"/>
        <w:tblLayout w:type="fixed"/>
        <w:tblCellMar>
          <w:top w:w="0" w:type="dxa"/>
          <w:left w:w="0" w:type="dxa"/>
          <w:bottom w:w="0" w:type="dxa"/>
          <w:right w:w="0" w:type="dxa"/>
        </w:tblCellMar>
      </w:tblPr>
      <w:tblGrid>
        <w:gridCol w:w="5086"/>
        <w:gridCol w:w="146"/>
        <w:gridCol w:w="706"/>
        <w:gridCol w:w="146"/>
        <w:gridCol w:w="1303"/>
        <w:gridCol w:w="333"/>
        <w:gridCol w:w="146"/>
        <w:gridCol w:w="1290"/>
        <w:gridCol w:w="391"/>
      </w:tblGrid>
      <w:tr>
        <w:trPr/>
        <w:tc>
          <w:tcPr>
            <w:tcW w:w="50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 xml:space="preserve">ended </w:t>
              <w:br/>
              <w:t>December 31, </w:t>
              <w:br/>
              <w:t>2025</w:t>
            </w:r>
          </w:p>
        </w:tc>
        <w:tc>
          <w:tcPr>
            <w:tcW w:w="146" w:type="dxa"/>
            <w:tcBorders/>
            <w:vAlign w:val="bottom"/>
          </w:tcPr>
          <w:p>
            <w:pPr>
              <w:pStyle w:val="TableContents"/>
              <w:bidi w:val="0"/>
              <w:spacing w:before="0" w:after="283"/>
              <w:jc w:val="left"/>
              <w:rPr/>
            </w:pPr>
            <w:r>
              <w:rP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 xml:space="preserve">ended </w:t>
              <w:br/>
              <w:t>December 31, </w:t>
              <w:br/>
              <w:t>2024</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16,468</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7,211</w:t>
            </w:r>
          </w:p>
        </w:tc>
        <w:tc>
          <w:tcPr>
            <w:tcW w:w="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10,794</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(5,057</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7,220</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(38,671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(19,641</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(20,933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(8,667</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(50,496</w:t>
            </w:r>
          </w:p>
        </w:tc>
        <w:tc>
          <w:tcPr>
            <w:tcW w:w="33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(46,750</w:t>
            </w:r>
          </w:p>
        </w:tc>
        <w:tc>
          <w:tcPr>
            <w:tcW w:w="39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(4,539</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tax</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(92,263</w:t>
            </w:r>
          </w:p>
        </w:tc>
        <w:tc>
          <w:tcPr>
            <w:tcW w:w="33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(48,844</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year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(92,355</w:t>
            </w:r>
          </w:p>
        </w:tc>
        <w:tc>
          <w:tcPr>
            <w:tcW w:w="33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(48,498</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927"/>
        <w:gridCol w:w="146"/>
        <w:gridCol w:w="406"/>
        <w:gridCol w:w="146"/>
        <w:gridCol w:w="946"/>
        <w:gridCol w:w="241"/>
        <w:gridCol w:w="146"/>
        <w:gridCol w:w="946"/>
        <w:gridCol w:w="301"/>
      </w:tblGrid>
      <w:tr>
        <w:trPr/>
        <w:tc>
          <w:tcPr>
            <w:tcW w:w="69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 comprehensive loss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9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Items that may be reclassified to profit or loss in subsequent periods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9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2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Items that will not be reclassified to profit or </w:t>
            </w:r>
            <w:r>
              <w:rPr>
                <w:rFonts w:ascii="Times New Roman PS Std;serif" w:hAnsi="Times New Roman PS Std;serif"/>
                <w:b/>
                <w:i w:val="false"/>
                <w:caps w:val="false"/>
                <w:smallCaps w:val="false"/>
                <w:sz w:val="20"/>
              </w:rPr>
              <w:t xml:space="preserve">loss/income </w:t>
            </w:r>
            <w:r>
              <w:rPr>
                <w:rFonts w:ascii="Times New Roman PS Std;serif" w:hAnsi="Times New Roman PS Std;serif"/>
                <w:b/>
                <w:i/>
                <w:caps w:val="false"/>
                <w:smallCaps w:val="false"/>
                <w:sz w:val="20"/>
              </w:rPr>
              <w:t>in subsequent periods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9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of defined benefit plans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impact</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2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(loss)/income for the year, net of tax</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9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 for the year</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(92,245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(48,591</w:t>
            </w:r>
          </w:p>
        </w:tc>
        <w:tc>
          <w:tcPr>
            <w:tcW w:w="30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9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Earnings per share</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losses per share</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2" w:name="T7015"/>
      <w:bookmarkEnd w:id="42"/>
      <w:r>
        <w:rPr>
          <w:rFonts w:ascii="Times New Roman PS Std;serif" w:hAnsi="Times New Roman PS Std;serif"/>
          <w:b/>
          <w:i w:val="false"/>
          <w:caps w:val="false"/>
          <w:smallCaps w:val="false"/>
          <w:sz w:val="20"/>
        </w:rPr>
        <w:t xml:space="preserve">PASQAL SAS </w:t>
        <w:br/>
        <w:t>CONSOLIDATED STATEMENTS OF CHANGES IN EQUITY</w:t>
      </w:r>
    </w:p>
    <w:tbl>
      <w:tblPr>
        <w:tblW w:w="13248" w:type="dxa"/>
        <w:jc w:val="left"/>
        <w:tblInd w:w="0" w:type="dxa"/>
        <w:tblLayout w:type="fixed"/>
        <w:tblCellMar>
          <w:top w:w="0" w:type="dxa"/>
          <w:left w:w="0" w:type="dxa"/>
          <w:bottom w:w="0" w:type="dxa"/>
          <w:right w:w="0" w:type="dxa"/>
        </w:tblCellMar>
      </w:tblPr>
      <w:tblGrid>
        <w:gridCol w:w="1541"/>
        <w:gridCol w:w="146"/>
        <w:gridCol w:w="545"/>
        <w:gridCol w:w="251"/>
        <w:gridCol w:w="146"/>
        <w:gridCol w:w="961"/>
        <w:gridCol w:w="241"/>
        <w:gridCol w:w="146"/>
        <w:gridCol w:w="762"/>
        <w:gridCol w:w="214"/>
        <w:gridCol w:w="146"/>
        <w:gridCol w:w="1113"/>
        <w:gridCol w:w="268"/>
        <w:gridCol w:w="146"/>
        <w:gridCol w:w="841"/>
        <w:gridCol w:w="286"/>
        <w:gridCol w:w="146"/>
        <w:gridCol w:w="1049"/>
        <w:gridCol w:w="527"/>
        <w:gridCol w:w="146"/>
        <w:gridCol w:w="901"/>
        <w:gridCol w:w="241"/>
        <w:gridCol w:w="146"/>
        <w:gridCol w:w="991"/>
        <w:gridCol w:w="146"/>
        <w:gridCol w:w="916"/>
        <w:gridCol w:w="286"/>
      </w:tblGrid>
      <w:tr>
        <w:trPr/>
        <w:tc>
          <w:tcPr>
            <w:tcW w:w="15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 € thousand</w:t>
            </w:r>
          </w:p>
        </w:tc>
        <w:tc>
          <w:tcPr>
            <w:tcW w:w="146" w:type="dxa"/>
            <w:tcBorders/>
            <w:vAlign w:val="bottom"/>
          </w:tcPr>
          <w:p>
            <w:pPr>
              <w:pStyle w:val="TableContents"/>
              <w:bidi w:val="0"/>
              <w:spacing w:before="0" w:after="283"/>
              <w:jc w:val="left"/>
              <w:rPr/>
            </w:pPr>
            <w:r>
              <w:rPr/>
              <w:t> </w:t>
            </w:r>
          </w:p>
        </w:tc>
        <w:tc>
          <w:tcPr>
            <w:tcW w:w="7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Share </w:t>
              <w:br/>
              <w:t>capital</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Share </w:t>
              <w:br/>
              <w:t>premium</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Treasury </w:t>
              <w:br/>
              <w:t>shares</w:t>
            </w:r>
          </w:p>
        </w:tc>
        <w:tc>
          <w:tcPr>
            <w:tcW w:w="146"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deficit</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reserves</w:t>
            </w:r>
          </w:p>
        </w:tc>
        <w:tc>
          <w:tcPr>
            <w:tcW w:w="146" w:type="dxa"/>
            <w:tcBorders/>
            <w:vAlign w:val="bottom"/>
          </w:tcPr>
          <w:p>
            <w:pPr>
              <w:pStyle w:val="TableContents"/>
              <w:bidi w:val="0"/>
              <w:spacing w:before="0" w:after="283"/>
              <w:jc w:val="left"/>
              <w:rPr/>
            </w:pPr>
            <w:r>
              <w:rPr/>
              <w:t> </w:t>
            </w:r>
          </w:p>
        </w:tc>
        <w:tc>
          <w:tcPr>
            <w:tcW w:w="15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 xml:space="preserve">comprehensive </w:t>
              <w:br/>
              <w:t>income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Loss of </w:t>
              <w:br/>
              <w:t>the year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Minority </w:t>
              <w:br/>
              <w:t>interests</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equity</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January 1, 2024</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131,114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(1,705</w:t>
            </w:r>
          </w:p>
        </w:tc>
        <w:tc>
          <w:tcPr>
            <w:tcW w:w="21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(22,480</w:t>
            </w:r>
          </w:p>
        </w:tc>
        <w:tc>
          <w:tcPr>
            <w:tcW w:w="26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25,699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w:t>
            </w:r>
          </w:p>
        </w:tc>
        <w:tc>
          <w:tcPr>
            <w:tcW w:w="52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(53,331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79,331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Allocation of profit/loss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(53,331</w:t>
            </w:r>
          </w:p>
        </w:tc>
        <w:tc>
          <w:tcPr>
            <w:tcW w:w="26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53,331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Loss for the year</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comprehensive (loss)/</w:t>
              <w:br/>
              <w:t>income</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w:t>
            </w:r>
          </w:p>
        </w:tc>
        <w:tc>
          <w:tcPr>
            <w:tcW w:w="5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comprehensive loss for the year</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(39</w:t>
            </w:r>
          </w:p>
        </w:tc>
        <w:tc>
          <w:tcPr>
            <w:tcW w:w="527"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(48,537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Equity-settled share-based payments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Variation in translation reserves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w:t>
            </w:r>
          </w:p>
        </w:tc>
        <w:tc>
          <w:tcPr>
            <w:tcW w:w="5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Acquisition (cancellation) of treasury shares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w:t>
            </w:r>
          </w:p>
        </w:tc>
        <w:tc>
          <w:tcPr>
            <w:tcW w:w="2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1,705</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Conversion of preferred shares and other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variations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transactions with owners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658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1,705</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(430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(54</w:t>
            </w:r>
          </w:p>
        </w:tc>
        <w:tc>
          <w:tcPr>
            <w:tcW w:w="527"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1,879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December 31, 2024</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692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131,114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(75,811</w:t>
            </w:r>
          </w:p>
        </w:tc>
        <w:tc>
          <w:tcPr>
            <w:tcW w:w="268"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25,269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(94</w:t>
            </w:r>
          </w:p>
        </w:tc>
        <w:tc>
          <w:tcPr>
            <w:tcW w:w="527"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32,673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Allocation of profit/loss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6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Loss for the year</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(92,355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(92,355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comprehensive (loss)/</w:t>
              <w:br/>
              <w:t>income</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comprehensive loss for the year</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63</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(92,355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(92,292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Issue of share capital</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30,842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Equity-settled share-based payments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Variation in translation reserves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variations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(91,776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91,776</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14,839</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14,839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transactions with owners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(60,956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91,776</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24,315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47</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55,204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December 31, 2025</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715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70,158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(32,533</w:t>
            </w:r>
          </w:p>
        </w:tc>
        <w:tc>
          <w:tcPr>
            <w:tcW w:w="268"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49,584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(92,355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(4,415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See Note 9.3.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3" w:name="T7016"/>
      <w:bookmarkEnd w:id="43"/>
      <w:r>
        <w:rPr>
          <w:rFonts w:ascii="Times New Roman PS Std;serif" w:hAnsi="Times New Roman PS Std;serif"/>
          <w:b/>
          <w:i w:val="false"/>
          <w:caps w:val="false"/>
          <w:smallCaps w:val="false"/>
          <w:sz w:val="20"/>
        </w:rPr>
        <w:t xml:space="preserve">PASQAL SAS </w:t>
        <w:br/>
        <w:t>CONSOLIDATED STATEMENTS OF CASH FLOWS</w:t>
      </w:r>
    </w:p>
    <w:tbl>
      <w:tblPr>
        <w:tblW w:w="10205" w:type="dxa"/>
        <w:jc w:val="left"/>
        <w:tblInd w:w="0" w:type="dxa"/>
        <w:tblLayout w:type="fixed"/>
        <w:tblCellMar>
          <w:top w:w="0" w:type="dxa"/>
          <w:left w:w="0" w:type="dxa"/>
          <w:bottom w:w="0" w:type="dxa"/>
          <w:right w:w="0" w:type="dxa"/>
        </w:tblCellMar>
      </w:tblPr>
      <w:tblGrid>
        <w:gridCol w:w="5758"/>
        <w:gridCol w:w="146"/>
        <w:gridCol w:w="706"/>
        <w:gridCol w:w="146"/>
        <w:gridCol w:w="1297"/>
        <w:gridCol w:w="330"/>
        <w:gridCol w:w="146"/>
        <w:gridCol w:w="1284"/>
        <w:gridCol w:w="392"/>
      </w:tblGrid>
      <w:tr>
        <w:trPr/>
        <w:tc>
          <w:tcPr>
            <w:tcW w:w="57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2024</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OPERATING ACTIVITIES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used in operations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(24,270</w:t>
            </w:r>
          </w:p>
        </w:tc>
        <w:tc>
          <w:tcPr>
            <w:tcW w:w="33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(29,922</w:t>
            </w:r>
          </w:p>
        </w:tc>
        <w:tc>
          <w:tcPr>
            <w:tcW w:w="39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used in operating activities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(24,270</w:t>
            </w:r>
          </w:p>
        </w:tc>
        <w:tc>
          <w:tcPr>
            <w:tcW w:w="33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(29,922</w:t>
            </w:r>
          </w:p>
        </w:tc>
        <w:tc>
          <w:tcPr>
            <w:tcW w:w="39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INVESTING ACTIVITIES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property, plant and equipment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(5,701</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(19,194</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intangible assets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(5,117</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intangible asset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Receipt of government grants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3,893</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deposits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2,051</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(8,324</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subsidiary</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w:t>
            </w:r>
          </w:p>
        </w:tc>
        <w:tc>
          <w:tcPr>
            <w:tcW w:w="33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39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used in investing activities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(5,371</w:t>
            </w:r>
          </w:p>
        </w:tc>
        <w:tc>
          <w:tcPr>
            <w:tcW w:w="330"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(28,595</w:t>
            </w:r>
          </w:p>
        </w:tc>
        <w:tc>
          <w:tcPr>
            <w:tcW w:w="39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FROM FINANCING ACTIVITIES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borrowings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69,435</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7,814</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borrowings and lease liabilities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(2,343</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(2,376</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capital increases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9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from financing activities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96,723</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4,764</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increase/(decrease) in cash and cash equivalents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67,082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(53,754</w:t>
            </w:r>
          </w:p>
        </w:tc>
        <w:tc>
          <w:tcPr>
            <w:tcW w:w="39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the beginning of the year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60,896</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Effects of exchange rate changes on cash and cash equivalents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the end of the year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4" w:name="T7017"/>
      <w:bookmarkEnd w:id="44"/>
      <w:r>
        <w:rPr>
          <w:rFonts w:ascii="Times New Roman PS Std;serif" w:hAnsi="Times New Roman PS Std;serif"/>
          <w:b/>
          <w:i w:val="false"/>
          <w:caps w:val="false"/>
          <w:smallCaps w:val="false"/>
          <w:sz w:val="20"/>
        </w:rPr>
        <w:t xml:space="preserve">PASQAL SAS </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Corporate information and 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S.A.S. (“the Company” or “the parent”) is a simplified corporation incorporated in France under French law. It was created in March 2019 for a term of 99 years and is registered with the Evry Trade and Companies Register under number 849 441 522. The registered office is located at 24 Rue Emile Baudot, 91120 Palaiseau, France. Pasqal S.A.S. and its subsidiaries are collectively referred to as “the Pasqal Group” or “the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principally engaged in the development and commercialization of modular neutral-atom quantum processing units (“QPUs”) based on neutral atoms arranged in 2D and 3D lattices, providing useful quantum advantages to its customers to solve real-world problems. They are designed for highly-scalable computational capabilities, precise qubit control, and improved coherence times in both analog and digital modes and can operate in standard data-center environments. Pasqal’s technology targets complex computational use cases across multiple industries and is supported by strategic research, industrial, cloud, and high-performance computing partnerships.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Key events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Key events during the 2025 financial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 Changes in scope of consolidation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first quarter of 2025, management decided to close the Japanese subsidiary in connection with an internal reorganization program. The procedure was finalized with an effective date of April 30, 2025. The impact of this closure on the Group’s financial statements is not material. See Note 32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 Netherlands B.V. was closed on 24 June 2025. The other entities of the subgroup, Pasqal UK Limited and Qu &amp; Co Solutions GmbH, ceased their activities on the same date. As part of this process, a bankruptcy trustee was appointed in the Netherlands. A strike-off procedure has been initiated for Pasqal UK Limited, and a solvent wind-down will be initiated for Qu&amp;Co Solutions GmbH. The related impact on the Group’s financial statements is not material. See Note 32 for further disclosures.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 Changes in corporate governance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April 1, 2025, following the resignation of Georges-Olivier Reymond from his position as Chairman of Pasqal SAS, Loïc Henriet was appointed to replace him.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October 29, 2025, Wasiq Bokhari was appointed as Managing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secure its financing needs for the 2025 financial year and beyond, the Group completed a refinancing through the issuance of bonds redeemable in shares (ORA) for a total amount of €68,295 thousand between April and December 2025, following a decision of the Supervisory Committee on 20 February 2025. The issuance was carried out pursuant to the authorizations granted by the shareholders at the Shareholders’ Meetings held on March 1 and September 19, 2025. The ORA are designated at fair value through profit or loss and amount to €102,278 thousand as of December 31, 2025. See Note 10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5 July 2024, Pasqal entered into an agreement with CMA CGM Group for the issuance of a €5,000 thousand convertible bond (OCA). On 15 October 2025, CMA CGM requested early redemption for an amount of €5,312 thousand, corresponding to the nominal value plus accrued interest, which was settled through the issuance of an ORA for the same amount. The OCA was derecognized and the ORA was recognized at fair value on the same date. Any resulting difference was recognized in profit or loss. See Note 10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Starting in December 2025, the Group carried out several capital increases through the issuance of new common shares (“Series C Shares”). In December 2025, 225,741 Series C Shares were subscribed for total proceeds of €31,500 thousand. Further issuances occurred in early 2026 for a total amount of €69,738 thousand (see Notes 9.1 and 31.4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Key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March 2025, Pasqal entered into an agreement with the European High Performance Computing Joint Undertaking (EuroHPC JU) for the delivery of EuroQCS-Italy, a first-generation neutral-atom quantum computer to be hosted by CINECA in Bologna and integrated into the Leonardo pre-exascale supercomputer. The system is expected to offer at least 140 qubits in analog mode with commissioning planned in 2026, followed by an upgrade to a hybrid analog/digital architecture in 2027. The contract, co-funded equally by EuroHPC JU and the Italian Ministry of University and Research, has a total price of €12,990 thousand. As at 31 December 2025, no revenue has been recognized, as the commissioning of the system had not yet occurred. See Notes 15 and 19.</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 Grant agreements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7 November 2025, Pasqal entered into a grant agreement to support its development plan in South Korea and the broader Asia-Pacific region for a total amount of ₩24 billion (approximately €14 million). In accordance with IAS 20, the grant is allocated between asset-related and income-related components based on the nature of the underlying eligible expenditures. As at 31 December 2025, this grant is presented as deferred income in the statement of financial position and no income has been recognized in profit or loss. See Note 15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7 October 2025, the Group entered into a $15,000 thousand, ten-year financing arrangement with the Illinois Finance Authority (IFA) to support its development in the United States. The loan bears interest at a fixed rate and includes a deferred-interest period. In parallel, the Group entered into a long-term Tax Credit Agreement with the State of Illinois (“MICRO”), under which it may earn refundable tax credits over a ten-year period based on eligible expenses. The revocation of MICRO credits constitutes an event of default under the loan agreement. A variable fee may be owed to the Illinois Finance Authority for quantum computers manufactured at the Illinois site and sold or leased during the loan term. As of 31 December 2025, no such fee has been incurred. See Note 10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1 August 2025, Pasqal was awarded €2,209 thousand for PASQUOPS, a cross-border Franco-German project running from 2025 to 2028 and funded through national innovation agencies in France (BPI) and Germany (VDI). With a total budget of €3,726 thousand, Pasqal leads a consortium of six partners to develop scalable, fault-tolerant neutral-atom quantum computing by improving qubit and gate performance, reducing resources required for logical operations, and identifying relevant real-world applications. See Note 15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Key events during the 2024 financial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 Changes in scope of consolidation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July 29, 2024, Pasqal S.A.S. finalized the acquisition of Aeponyx Enterprises through a holding company, Photonic Integrated Circuits Inc. Aeponyx is specialized in the development of photonic integrated circuits. This acquisition aims to support the growth of the Pasqal Group and the development of quantum computing technologies. Further information is provided in Notes 7.1, 17 and 18.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 Changes in shareholder’s equity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June 12, 2024, the shareholders decided to increase the share capital by €659,898.50 through the capitalization of share premiums. This transaction was followed by a 100-for-1 stock split, resulting in 6,946,300 shares outstanding with a par value of €0.10 per share, with no impact on total equity. This stock split has been reflected retrospectively.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July 11, 2024, the Chairman decided to reduce the share capital by €2,330 through the cancellation of 23,300 treasury shares repurchased in 2023, resulting in a €1,702,430 decrease in share premiums.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Key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July 5, 2024, Pasqal S.A.S. issued a convertible bond to the CMA CGM Group in an amount of €5,000 thousand, completed in August 2024. The bond bears interest at a rate of 5% and matures on December 31, 2025. As of December 31, 2024, it is recognized as a financial instrument at fair value through profit and loss with the corresponding change in fair value recognized in change in fair value of financial liabilities at FVPL. Further details are provided in Note 10.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 Other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December 2023, the Group signed a lease agreement for new premises in Paris (“Sentier lease”), secured by a first-demand bank guarantee of €2,314 thousand. During the fourth quarter of 2024, management considered different options regarding this lease including its early termination as there was a high probability that those premises would not be occupied. The decision to exit that lease was finally taken in January 2025 and the related termination costs amounting to €2,729 thousand were booked as of December 31, 2024. Those costs also include €414 thousand fit-out and refurbishment costs.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this situation qualifies as an adjusting event under IAS 10, the financial statements for the year ended December 31, 2024, include a provision of €2,729 thousand for lease termination costs. The amount was determined based on the final settlement agreement signed in June 2025. This provision is classified under current liabilities as it is expected to be settled within 12 months, with the corresponding expense presented in operating loss in the consolidated income statement. This provision was fully utilized in 2025 when the contract was terminated.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Following the refurbishment of the Phénix offices, the registered office of Pasqal S.A.S. was relocated to 24 Rue Émile Baudot, 91120 Palaiseau, France. See Note 7.4 for further disclosure.</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Basis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entities controlled by the Group. Control exists when the Group has power over the investee, is exposed (or has rights) to variable returns from its involvement with the investee and has the ability to use its power to affect those returns.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fully consolidated from the date control is obtained until the date control ceases. Intercompany balances, transactions, income and expenses are eliminated on consolidation. See Note 32 for further disclosures.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Basis of preparation of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 Statement of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in accordance with IFRS as issued by the International Accounting Standards Board (IASB). The financial statements have been prepared using International Accounting Standards (IAS and IFRS) and interpretations issued by the International Financial Reporting Interpretations Committee (IFRIC IC) (SIC and IFRIC).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 Reporting period and comparative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are presented for the year ended December 31, 2025, with comparative information provided for the year ended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prior year amounts have been reclassified to conform to the current year presentation. These classifications had no impact on previously reported net income, stockholder’s equity, or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Basis of preparation of the consolidated financial statements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 Internal control over financial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preparation of the consolidated financial statements included in the registration statement on Form F-4, management identified certain material weaknesses in the Company’s internal control over financial reporting as of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material weaknesses are described in the section “Risk Factors” of the registration statement. Management has initiated remediation actions to address these matters.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 Authorization for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were authorized for issue by the Group’s Board of Directors on May 23, 2026. The consolidated financial statements were approved by the President of Pasqal SAS on May 23,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 Judgments and 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consolidated financial statements in accordance with IFRS requires management to make judgments, estimates and assumptions that affect the reported amounts of assets and liabilities, disclosure of contingent assets and liabilities at the reporting date, and the reported amounts of income and expenses during the financial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estimates and assessments are evaluated on an ongoing basis based on past experience and various other factors deemed reasonable that form the basis for assessing the carrying amount of assets and liabilities. Actual results may differ materially from these estimates depending on different assumptions or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most significant judgments and estimates relate to the following.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 Fair value measurement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issues financial instruments that are measured at fair value at each reporting date and classified as financial liabilities in the financial statements. The fair values of these financial liabilities cannot be determined based on quoted prices in active markets and are therefore measured using valuation techniques. The determination of fair value requires the use of judgement, and changes in the assumptions applied could have a significant impact on the reported fair values of these financial instruments. The related financial instruments, valuation techniques and key assumptions are disclosed in Notes 10 and 14.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 Development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capitalizes costs for product development projects. Initial capitalization of costs is based on management’s judgement that technological and economic feasibility is confirmed, usually when a product development project has reached a defined milestone according to an established project management model. See Note 7.2 for further disclosures.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 Valuation of share-based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Estimating fair value for share-based payment transactions requires determination of the most appropriate valuation model, which depends on the terms and conditions of the grant. This estimate also requires determination of the most appropriate inputs to the valuation model including the risk-free rate, volatility and expected life of the share option or appreciation right, and making assumptions about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measures cash-settled share-based payment transactions using a Monte Carlo model to determine the fair value of the liability incurred. The associated cash-settled plan liability needs to be remeasured at the end of each reporting period up to the date of settlement, with any changes in fair value recognized in profit or loss. This requires a reassessment of the estimates used at the end of each reporting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Basis of preparation of the consolidated financial statements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measurement of the fair value of equity-settled transactions with employees at the grant date, the Group uses a Monte Carlo model.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and models used for estimating fair value for share-based payment transactions are disclosed in Note 14.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 Revenue recognition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required to apply judgement when assessing how customer contracts give rise to enforceable rights and obligations and in determining the appropriate accounting treatment under IFRS 15. The most significant judgments applied by management in applying IFRS 15 relate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identification of performance obligations in customer contracts,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assessment of the timing of revenue recognition (at a point in time versus over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determination of standalone selling prices (“SSP”) for distinct performance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key estimate refers to measuring progress for performance obligations satisfied over time, which may rely on input or output methods requiring assumptions regarding total contract costs, expected hours or milestones to completion.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19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have been prepared on a going concern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assessing the appropriateness of the going concern assumption, management considered the Group’s financial position, expected operating performance and liquidity, including cash flow forecasts covering a period of at least twelve months from the reporting date, i.e. through December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forecasts take into account the Group’s expected cash burn, committed financing arrangements in place as of December 31, 2025, and management’s ability to manage operating and investment expenditures.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this assessment, management concluded that the Group has sufficient liquidity to meet its obligations as they fall due over the assessment period and that the going concern basis of accounting remains appropriate as of December 31, 2025. See Note 5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 Foreign currencies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consolidated financial statements are presented in euros, which is also the parent company’s functional currency. Amounts are rounded to the nearest € thousand, unless otherwise stated.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transactions are converted by applying the average exchange rates prevailing at the transaction date. Monetary assets and liabilities denominated in foreign currencies at the closing date are converted at the closing exchange rate. Translation adjustments are recognized in net income. Non-monetary assets and liabilities denominated in a foreign currency and recorded at historical cost are translated using the exchange rate at the date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gains and losses arising on the translation of net investments in foreign subsidiaries and associates are recognized in equity.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Basis of preparation of the consolidated financial statements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present currency translation rates against the Euro for the Group’s most significant operations.</w:t>
      </w:r>
    </w:p>
    <w:tbl>
      <w:tblPr>
        <w:tblW w:w="9109" w:type="dxa"/>
        <w:jc w:val="left"/>
        <w:tblInd w:w="0" w:type="dxa"/>
        <w:tblLayout w:type="fixed"/>
        <w:tblCellMar>
          <w:top w:w="0" w:type="dxa"/>
          <w:left w:w="0" w:type="dxa"/>
          <w:bottom w:w="0" w:type="dxa"/>
          <w:right w:w="0" w:type="dxa"/>
        </w:tblCellMar>
      </w:tblPr>
      <w:tblGrid>
        <w:gridCol w:w="2716"/>
        <w:gridCol w:w="146"/>
        <w:gridCol w:w="1486"/>
        <w:gridCol w:w="146"/>
        <w:gridCol w:w="1396"/>
        <w:gridCol w:w="146"/>
        <w:gridCol w:w="1486"/>
        <w:gridCol w:w="146"/>
        <w:gridCol w:w="1441"/>
      </w:tblGrid>
      <w:tr>
        <w:trPr/>
        <w:tc>
          <w:tcPr>
            <w:tcW w:w="27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30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Currency</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Average rate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Closing rate</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Average rate</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Closing rate</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Pound Sterling (GBP)</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0.8571</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0.8725</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0.8466</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0.8292</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 Dollar (USD)</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1.1733</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1.0821</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1.0389</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Canadian Dollar (CAD)</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1.5790</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1.6104</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1.4819</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 Korean WON (KRW)</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1,606.2193</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1,694.9440</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1,475.2526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1,532.1444</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Saudi Riyal (SAR)</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4.2403</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4.4003</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4.0610</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3.8900</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Japanese Yen (YEN)</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169.1501</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184.0899</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163.8176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163.0601</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 Standards issued but not yet effective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and amended standards and interpretations that are issued, but not yet effective, up to the date of issuance of the Group’s financial statements are disclosed below. The Group intends to adopt these new and amended standards and interpretations, if applicable, when they become effective.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 IFRS 18 Presentation and Disclosure in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2024, the IASB issued IFRS 18, which replaces IAS 1 Presentation of Financial Statements. IFRS 18 introduces new requirements for presentation within the statement of profit or loss, as well as disclosure of newly defined management-defined performance measures, subtotals of income and expenses, and includes new requirements for aggregation and disaggregation of financial information based on the identified ‘roles’ of the primary financial statements and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narrow-scope amendments have been made to IAS 7 Statement of Cash Flows, which include changing the starting point for determining cash flows from operations under the indirect method, and removing the optionality around classification of cash flows from dividends and interest. In addition, there are consequential amendments to several other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IFRS 18, and the amendments to the other standards, is effective for reporting periods beginning on or after 1 January 2027, but earlier application is permitted and must be disclosed. IFRS 18 will apply retrospectively.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intend to early adopt IFRS 18 and is currently working to identify all impacts the amendments will have on the primary financial statements and notes to the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 Amendments to IFRS 9 and IFRS 7 — Amendments to the Classification and Measurement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2024, the IASB issued Amendments to IFRS 9 and IFRS 7, Amendments to the Classification and Measurement of Financial Instruments (the Amendments). The Amendments clarify derecognition rules for financial liabilities, provide guidance for assessing ESG-linked contractual cash flows, refine the definition of ‘non-recourse features’ and the characteristics of contractually linked instruments, and introduce new disclosure requirements for contingent features and FVOCI equity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Amendments are effective for annual periods starting on or after 1 January 2026 with early adoption permitted for classification of financial assets and related disclosures only.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anticipate that the amendments will have a material effect on the Group’s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Liquidity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exposed to liquidity risk, i.e., the risk that it will be unable to meet its financial obligations relating to the continuation of its business, given the financing requirements for the development of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Group’s net cash position as of December 31, 2025:</w:t>
      </w:r>
    </w:p>
    <w:tbl>
      <w:tblPr>
        <w:tblW w:w="8363" w:type="dxa"/>
        <w:jc w:val="left"/>
        <w:tblInd w:w="0" w:type="dxa"/>
        <w:tblLayout w:type="fixed"/>
        <w:tblCellMar>
          <w:top w:w="0" w:type="dxa"/>
          <w:left w:w="0" w:type="dxa"/>
          <w:bottom w:w="0" w:type="dxa"/>
          <w:right w:w="0" w:type="dxa"/>
        </w:tblCellMar>
      </w:tblPr>
      <w:tblGrid>
        <w:gridCol w:w="4756"/>
        <w:gridCol w:w="146"/>
        <w:gridCol w:w="1307"/>
        <w:gridCol w:w="328"/>
        <w:gridCol w:w="146"/>
        <w:gridCol w:w="1274"/>
        <w:gridCol w:w="406"/>
      </w:tblGrid>
      <w:tr>
        <w:trPr/>
        <w:tc>
          <w:tcPr>
            <w:tcW w:w="47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securities – Cash equivalents</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Cash(1)</w:t>
            </w:r>
          </w:p>
        </w:tc>
        <w:tc>
          <w:tcPr>
            <w:tcW w:w="146" w:type="dxa"/>
            <w:tcBorders/>
            <w:vAlign w:val="bottom"/>
          </w:tcPr>
          <w:p>
            <w:pPr>
              <w:pStyle w:val="TableContents"/>
              <w:bidi w:val="0"/>
              <w:spacing w:before="0" w:after="283"/>
              <w:jc w:val="left"/>
              <w:rPr/>
            </w:pPr>
            <w:r>
              <w:rPr/>
              <w:t> </w:t>
            </w:r>
          </w:p>
        </w:tc>
        <w:tc>
          <w:tcPr>
            <w:tcW w:w="13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73,736</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6,970</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 (A)</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13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w:t>
            </w:r>
          </w:p>
        </w:tc>
        <w:tc>
          <w:tcPr>
            <w:tcW w:w="3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(5,529</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which ORA</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(102,278</w:t>
            </w:r>
          </w:p>
        </w:tc>
        <w:tc>
          <w:tcPr>
            <w:tcW w:w="3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Borrowings – current excluding ORA(2)</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13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(2,886</w:t>
            </w:r>
          </w:p>
        </w:tc>
        <w:tc>
          <w:tcPr>
            <w:tcW w:w="3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(9,556</w:t>
            </w:r>
          </w:p>
        </w:tc>
        <w:tc>
          <w:tcPr>
            <w:tcW w:w="3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(6,607</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130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(8,084</w:t>
            </w:r>
          </w:p>
        </w:tc>
        <w:tc>
          <w:tcPr>
            <w:tcW w:w="32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(6,475</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 (C)</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(17,641</w:t>
            </w:r>
          </w:p>
        </w:tc>
        <w:tc>
          <w:tcPr>
            <w:tcW w:w="32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(13,082</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position (A) – (B) – (C)</w:t>
            </w:r>
          </w:p>
        </w:tc>
        <w:tc>
          <w:tcPr>
            <w:tcW w:w="146" w:type="dxa"/>
            <w:tcBorders/>
            <w:vAlign w:val="bottom"/>
          </w:tcPr>
          <w:p>
            <w:pPr>
              <w:pStyle w:val="TableContents"/>
              <w:bidi w:val="0"/>
              <w:spacing w:before="0" w:after="283"/>
              <w:jc w:val="left"/>
              <w:rPr/>
            </w:pPr>
            <w:r>
              <w:rPr/>
              <w:t> </w:t>
            </w:r>
          </w:p>
        </w:tc>
        <w:tc>
          <w:tcPr>
            <w:tcW w:w="130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53,235</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4"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(11,448</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Cash includes amounts received under the Korean grant agreement and IFA loan, for €2,832 thousand and €4,737 thousand as of December 31, 2025, see note 8.4.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year ended December 31, 2025, current borrowings exclude the redeemable bonds (“ORA”) as they are redeemable in ordinary shares of the Company. Accordingly, their settlement is not expected to give rise to any cash outflow.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as of December 31, 2025, have been prepared on a going concern basis. In assessing the Group’s ability to continue as a going concern for at least twelve months from the reporting date, management considered the Group’s cash position, projected operating results and cash flows, expected working capital requirements, planned capital expenditures, and the availability of additional sources of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had cash and cash equivalents of €73,762 thousand. The Group subsequently completed several capital increases between January 2026 and February 2026 through the issuance of new common shares (“Series C Shares”), generating total proceeds of €69,738 thousand (see Note 31.4 for further disclosures). In addition, in connection with the planned business combination and after December 31, 2025, the Group entered into a pre-PIPE financing arrangement with certain investors. This arrangement includes commitments to participate in a contemplated PIPE financing, representing a total of $200,000 thousand in potential convertible financing and associated warrants, subject to definitive agreements and completion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believes that its cash and cash equivalents as of December 31, 2025 and the proceeds it received from the Series C will be sufficient to meet its working capital and capital expenditure needs for the next twelve months from the reporting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above, management concluded that the going concern basis of accounting remains appropriate as of December 31, 2025.</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Chief Executive Officer (CEO) is the Chief Operating Decision Maker (CODM). The CODM allocates resources and assesses performance at consolidated level using aggregated information based on the Group’s profit or loss.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Segment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in a single operating segment which is the development and implementation of quantum computing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tables below present the breakdown of non-current assets by geographic area for the years ended December 31, 2025 and 2024, respectively:</w:t>
      </w:r>
    </w:p>
    <w:tbl>
      <w:tblPr>
        <w:tblW w:w="7564" w:type="dxa"/>
        <w:jc w:val="left"/>
        <w:tblInd w:w="0" w:type="dxa"/>
        <w:tblLayout w:type="fixed"/>
        <w:tblCellMar>
          <w:top w:w="0" w:type="dxa"/>
          <w:left w:w="0" w:type="dxa"/>
          <w:bottom w:w="0" w:type="dxa"/>
          <w:right w:w="0" w:type="dxa"/>
        </w:tblCellMar>
      </w:tblPr>
      <w:tblGrid>
        <w:gridCol w:w="3091"/>
        <w:gridCol w:w="146"/>
        <w:gridCol w:w="1246"/>
        <w:gridCol w:w="146"/>
        <w:gridCol w:w="916"/>
        <w:gridCol w:w="146"/>
        <w:gridCol w:w="931"/>
        <w:gridCol w:w="146"/>
        <w:gridCol w:w="796"/>
      </w:tblGrid>
      <w:tr>
        <w:trPr/>
        <w:tc>
          <w:tcPr>
            <w:tcW w:w="3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31/12/2025</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France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Canada</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19,676</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15,065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4,611</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17,451</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4,044</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13,406</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28,119</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24,687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3,407</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65,247</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43,797</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21,424</w:t>
            </w:r>
          </w:p>
        </w:tc>
        <w:tc>
          <w:tcPr>
            <w:tcW w:w="146" w:type="dxa"/>
            <w:tcBorders/>
            <w:vAlign w:val="bottom"/>
          </w:tcPr>
          <w:p>
            <w:pPr>
              <w:pStyle w:val="TableContents"/>
              <w:bidi w:val="0"/>
              <w:spacing w:before="0" w:after="283"/>
              <w:jc w:val="left"/>
              <w:rPr/>
            </w:pPr>
            <w:r>
              <w:rPr/>
              <w:t> </w:t>
            </w:r>
          </w:p>
        </w:tc>
        <w:tc>
          <w:tcPr>
            <w:tcW w:w="7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w:t>
            </w:r>
          </w:p>
        </w:tc>
      </w:tr>
    </w:tbl>
    <w:tbl>
      <w:tblPr>
        <w:tblW w:w="8641" w:type="dxa"/>
        <w:jc w:val="left"/>
        <w:tblInd w:w="0" w:type="dxa"/>
        <w:tblLayout w:type="fixed"/>
        <w:tblCellMar>
          <w:top w:w="0" w:type="dxa"/>
          <w:left w:w="0" w:type="dxa"/>
          <w:bottom w:w="0" w:type="dxa"/>
          <w:right w:w="0" w:type="dxa"/>
        </w:tblCellMar>
      </w:tblPr>
      <w:tblGrid>
        <w:gridCol w:w="3091"/>
        <w:gridCol w:w="146"/>
        <w:gridCol w:w="1246"/>
        <w:gridCol w:w="146"/>
        <w:gridCol w:w="916"/>
        <w:gridCol w:w="146"/>
        <w:gridCol w:w="931"/>
        <w:gridCol w:w="146"/>
        <w:gridCol w:w="931"/>
        <w:gridCol w:w="146"/>
        <w:gridCol w:w="796"/>
      </w:tblGrid>
      <w:tr>
        <w:trPr/>
        <w:tc>
          <w:tcPr>
            <w:tcW w:w="3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31/12/2024</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France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Rest of </w:t>
              <w:br/>
              <w:t>Europe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Canada</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20,033</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15,065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4,968</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14,883</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1,505</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13,378</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28,077</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3,746</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62,993</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40,845</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22,092</w:t>
            </w:r>
          </w:p>
        </w:tc>
        <w:tc>
          <w:tcPr>
            <w:tcW w:w="146" w:type="dxa"/>
            <w:tcBorders/>
            <w:vAlign w:val="bottom"/>
          </w:tcPr>
          <w:p>
            <w:pPr>
              <w:pStyle w:val="TableContents"/>
              <w:bidi w:val="0"/>
              <w:spacing w:before="0" w:after="283"/>
              <w:jc w:val="left"/>
              <w:rPr/>
            </w:pPr>
            <w:r>
              <w:rPr/>
              <w:t> </w:t>
            </w:r>
          </w:p>
        </w:tc>
        <w:tc>
          <w:tcPr>
            <w:tcW w:w="7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19.3 for further disclosure on revenue-related segment information.</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Non-current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 Goodwill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combinations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business combinations are accounted for by applying the purchase method. The cost of an acquisition is measured as the aggregate of the consideration transferred, which is measured at acquisition date fair value, and the amount of any non-controlling interests in the acquiree. Acquisition-related costs are expensed as incurred.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determines that it has acquired a business when the acquired set of activities and assets includes an input and a substantive process that together significantly contribute to the ability to create outputs. The acquired process is considered substantive if it is critical to the ability to continue producing outputs, and the inputs acquired include an organized workforce with the necessary skills, knowledge, or experience to perform that process or it significantly contributes to the ability to continue producing outputs and is considered unique or scarce or cannot be replaced without significant cost, effort, or delay in the ability to continue producing outputs.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Group acquires a business, it assesses the financial assets and liabilities assumed for appropriate classification and designation in accordance with the contractual terms, economic circumstances and pertinent conditions as of the acquisition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Measurement of goodwill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is initially measured at cost (being the excess of the aggregate of the consideration transferred and the amount recognized for non-controlling interests and any previous interest held over the net identifiable assets acquired and liabilities assumed).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After initial recognition, goodwill is measured at cost less any accumulated impairment losses. For the purpose of impairment testing, goodwill acquired in a business combination is, from the acquisition date, allocated to each of the Group’s cash-generating units that are expected to benefit from the combination, irrespective of whether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or liabilities of the acquiree are assigned to those units. In the event of impairment, the loss is recognized in the income statement under operating loss in “Net impairment losses”. Where goodwill has been allocated to a cash-generating unit (CGU) and part of the operation within that unit is disposed of, the goodwill associated with the disposed operation is included in the carrying amount of the operation when determining the gain or loss on disposal. Goodwill disposed in these circumstances is measured based on the relative values of the disposed operation and the portion of the cash-generating unit retained.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Impairment 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CGU’s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 Goodwill is tested for impairment annually as of 31 December and when circumstances indicate that the carrying value may be impaired. Impairment is determined for goodwill by assessing the recoverable amount of each CGU to which the goodwill relates. When the recoverable amount of the CGU is less than its carrying amount, an impairment loss is recognized. Impairment losses relating to goodwill cannot be reversed in future periods.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the carrying amount of goodwill for the years ended December 31, 2025 and 2024, are as follows:</w:t>
      </w:r>
    </w:p>
    <w:tbl>
      <w:tblPr>
        <w:tblW w:w="4934" w:type="dxa"/>
        <w:jc w:val="left"/>
        <w:tblInd w:w="0" w:type="dxa"/>
        <w:tblLayout w:type="fixed"/>
        <w:tblCellMar>
          <w:top w:w="0" w:type="dxa"/>
          <w:left w:w="0" w:type="dxa"/>
          <w:bottom w:w="0" w:type="dxa"/>
          <w:right w:w="0" w:type="dxa"/>
        </w:tblCellMar>
      </w:tblPr>
      <w:tblGrid>
        <w:gridCol w:w="3586"/>
        <w:gridCol w:w="146"/>
        <w:gridCol w:w="916"/>
        <w:gridCol w:w="286"/>
      </w:tblGrid>
      <w:tr>
        <w:trPr/>
        <w:tc>
          <w:tcPr>
            <w:tcW w:w="35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Goodwill</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Goodwill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Goodwill at December 31,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Goodwill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19,676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amounted to €19,676 thousand as of December 31, 2025 and to €20,033 thousand as of December 31, 2024, respectively. It relates to the acquisitions of Pasqal Netherlands B.V. (formerly Qu &amp; Co) in 2021, MCF in 2022, and Aeponyx in 2024. The related goodwill amounts to €14,775 thousand, €290 thousand and €4,611 thousand as of December 31, 2025, respectively. The goodwill on Aeponyx amounted to €4,968 thousand as of December 31, 2024; the decrease in 2025 reflects foreign currency translation adjustments of €(357)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2024, the Group acquired 100% of the voting shares of Aeponyx Entreprises Inc. (“Aeponyx”), an unlisted company based in Canada that specializes in the design of integrated photonic circuits (PICs) combined with MEMS (Micro-Electro-Mechanical Systems) technologies, with applications in telecommunications, data centers, advanced sensors, and quantum computing. The Group has acquired Aeponyx with a view to enhancing the scalability, stability, and performance of the optical systems used in Pasqal’s quantum processors.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Canadian investment regulations, the transaction was subject to a national security review conducted post-closing. This review did not create a suspensive condition that could be considered a substantive hurdle. The approval was obtained in March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has been accounted for using the acquisition method. The consideration transferred included fixed and contingent issuable shares measured at fair value at the acquisition date. The contingent consideration was classified as a financial liability in accordance with IAS 32 and is subsequently remeasured at fair value through profit or loss (refer to Notes 17, 18 and 33 for further disclosures). The consolidated financial statements as of December 31, 2024, include the results of Aeponyx for the five-month period from the acquisition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Aeponyx contributed €1,135 thousand to the loss before tax of the Group from the date of acquisition. Aeponyx did not generate any revenue during the period. If the combination had taken place at the beginning of the year, the net loss of the Group for the year ended December 31, 2024, would have been €50,531 thousand, taking into account the fair value remeasurement of the contingent consideration recognized over the full year (see Notes 17,18 and 33).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impairment testing purposes, goodwill acquired through business combinations is allocated to the following cash-generating units.</w:t>
      </w:r>
    </w:p>
    <w:tbl>
      <w:tblPr>
        <w:tblW w:w="10205" w:type="dxa"/>
        <w:jc w:val="left"/>
        <w:tblInd w:w="0" w:type="dxa"/>
        <w:tblLayout w:type="fixed"/>
        <w:tblCellMar>
          <w:top w:w="0" w:type="dxa"/>
          <w:left w:w="0" w:type="dxa"/>
          <w:bottom w:w="0" w:type="dxa"/>
          <w:right w:w="0" w:type="dxa"/>
        </w:tblCellMar>
      </w:tblPr>
      <w:tblGrid>
        <w:gridCol w:w="3038"/>
        <w:gridCol w:w="146"/>
        <w:gridCol w:w="1634"/>
        <w:gridCol w:w="146"/>
        <w:gridCol w:w="1634"/>
        <w:gridCol w:w="146"/>
        <w:gridCol w:w="1634"/>
        <w:gridCol w:w="146"/>
        <w:gridCol w:w="1681"/>
      </w:tblGrid>
      <w:tr>
        <w:trPr/>
        <w:tc>
          <w:tcPr>
            <w:tcW w:w="3038"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vMerge w:val="restart"/>
            <w:tcBorders/>
            <w:vAlign w:val="bottom"/>
          </w:tcPr>
          <w:p>
            <w:pPr>
              <w:pStyle w:val="TableContents"/>
              <w:bidi w:val="0"/>
              <w:spacing w:before="0" w:after="283"/>
              <w:jc w:val="left"/>
              <w:rPr/>
            </w:pPr>
            <w:r>
              <w:rPr/>
              <w:t> </w:t>
            </w:r>
          </w:p>
        </w:tc>
        <w:tc>
          <w:tcPr>
            <w:tcW w:w="341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46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3038"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QPU cash </w:t>
              <w:br/>
              <w:t>generating unit</w:t>
            </w:r>
          </w:p>
        </w:tc>
        <w:tc>
          <w:tcPr>
            <w:tcW w:w="146" w:type="dxa"/>
            <w:tcBorders/>
            <w:vAlign w:val="bottom"/>
          </w:tcPr>
          <w:p>
            <w:pPr>
              <w:pStyle w:val="TableContents"/>
              <w:bidi w:val="0"/>
              <w:spacing w:before="0" w:after="283"/>
              <w:jc w:val="left"/>
              <w:rPr/>
            </w:pPr>
            <w:r>
              <w:rPr/>
              <w:t> </w:t>
            </w:r>
          </w:p>
        </w:tc>
        <w:tc>
          <w:tcPr>
            <w:tcW w:w="16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Cryostat cash </w:t>
              <w:br/>
              <w:t>generating unit</w:t>
            </w:r>
          </w:p>
        </w:tc>
        <w:tc>
          <w:tcPr>
            <w:tcW w:w="146" w:type="dxa"/>
            <w:tcBorders/>
            <w:vAlign w:val="bottom"/>
          </w:tcPr>
          <w:p>
            <w:pPr>
              <w:pStyle w:val="TableContents"/>
              <w:bidi w:val="0"/>
              <w:spacing w:before="0" w:after="283"/>
              <w:jc w:val="left"/>
              <w:rPr/>
            </w:pPr>
            <w:r>
              <w:rPr/>
              <w:t> </w:t>
            </w:r>
          </w:p>
        </w:tc>
        <w:tc>
          <w:tcPr>
            <w:tcW w:w="16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QPU cash </w:t>
              <w:br/>
              <w:t>generating unit</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Cryostat cash </w:t>
              <w:br/>
              <w:t>generating unit</w:t>
            </w:r>
          </w:p>
        </w:tc>
      </w:tr>
      <w:tr>
        <w:trPr/>
        <w:tc>
          <w:tcPr>
            <w:tcW w:w="30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16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19,386</w:t>
            </w:r>
          </w:p>
        </w:tc>
        <w:tc>
          <w:tcPr>
            <w:tcW w:w="146" w:type="dxa"/>
            <w:tcBorders/>
            <w:shd w:fill="CCEEFF" w:val="clear"/>
            <w:vAlign w:val="bottom"/>
          </w:tcPr>
          <w:p>
            <w:pPr>
              <w:pStyle w:val="TableContents"/>
              <w:bidi w:val="0"/>
              <w:spacing w:before="0" w:after="283"/>
              <w:jc w:val="left"/>
              <w:rPr/>
            </w:pPr>
            <w:r>
              <w:rPr/>
              <w:t> </w:t>
            </w:r>
          </w:p>
        </w:tc>
        <w:tc>
          <w:tcPr>
            <w:tcW w:w="16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146" w:type="dxa"/>
            <w:tcBorders/>
            <w:shd w:fill="CCEEFF" w:val="clear"/>
            <w:vAlign w:val="bottom"/>
          </w:tcPr>
          <w:p>
            <w:pPr>
              <w:pStyle w:val="TableContents"/>
              <w:bidi w:val="0"/>
              <w:spacing w:before="0" w:after="283"/>
              <w:jc w:val="left"/>
              <w:rPr/>
            </w:pPr>
            <w:r>
              <w:rPr/>
              <w:t> </w:t>
            </w:r>
          </w:p>
        </w:tc>
        <w:tc>
          <w:tcPr>
            <w:tcW w:w="16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19,743</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r>
      <w:tr>
        <w:trPr/>
        <w:tc>
          <w:tcPr>
            <w:tcW w:w="30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 with indefinite useful lives</w:t>
            </w:r>
          </w:p>
        </w:tc>
        <w:tc>
          <w:tcPr>
            <w:tcW w:w="146" w:type="dxa"/>
            <w:tcBorders/>
            <w:vAlign w:val="bottom"/>
          </w:tcPr>
          <w:p>
            <w:pPr>
              <w:pStyle w:val="TableContents"/>
              <w:bidi w:val="0"/>
              <w:spacing w:before="0" w:after="283"/>
              <w:jc w:val="left"/>
              <w:rPr/>
            </w:pPr>
            <w:r>
              <w:rPr/>
              <w:t> </w:t>
            </w:r>
          </w:p>
        </w:tc>
        <w:tc>
          <w:tcPr>
            <w:tcW w:w="16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19,386</w:t>
            </w:r>
          </w:p>
        </w:tc>
        <w:tc>
          <w:tcPr>
            <w:tcW w:w="146" w:type="dxa"/>
            <w:tcBorders/>
            <w:vAlign w:val="bottom"/>
          </w:tcPr>
          <w:p>
            <w:pPr>
              <w:pStyle w:val="TableContents"/>
              <w:bidi w:val="0"/>
              <w:spacing w:before="0" w:after="283"/>
              <w:jc w:val="left"/>
              <w:rPr/>
            </w:pPr>
            <w:r>
              <w:rPr/>
              <w:t> </w:t>
            </w:r>
          </w:p>
        </w:tc>
        <w:tc>
          <w:tcPr>
            <w:tcW w:w="16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290</w:t>
            </w:r>
          </w:p>
        </w:tc>
        <w:tc>
          <w:tcPr>
            <w:tcW w:w="146" w:type="dxa"/>
            <w:tcBorders/>
            <w:vAlign w:val="bottom"/>
          </w:tcPr>
          <w:p>
            <w:pPr>
              <w:pStyle w:val="TableContents"/>
              <w:bidi w:val="0"/>
              <w:spacing w:before="0" w:after="283"/>
              <w:jc w:val="left"/>
              <w:rPr/>
            </w:pPr>
            <w:r>
              <w:rPr/>
              <w:t> </w:t>
            </w:r>
          </w:p>
        </w:tc>
        <w:tc>
          <w:tcPr>
            <w:tcW w:w="16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19,743</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exists when the carrying value of an asset or cash generating unit exceeds its recoverable amount, which is the higher of its fair value less costs of disposal and its value in use. The fair value less costs of disposal calculation is based on available data from binding sales transactions, conducted at arm’s length, for similar assets or observable market prices less incremental costs of disposing of the asset. The value in use calculation is based on a Discounted cash flow (DCF) model. No impairment loss was recognized for the years ended December 31, 2025 and 2024, as the recoverable amount exceeded the carrying amount, based on the Company’s market value as implied by arm’s length equity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 Other intangible assets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IAS 38 defines an intangible asset as an identifiable non-monetary asset without physical substance that is controlled by the entity. An asset is identifiable: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it is separable (leased, sold, exchanged independently),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it arises from a contractual or legal right, whether or not that right is separable.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asset is controlled if the entity has the power to derive future economic benefits from it and to restrict access to it by third parties.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an intangible asset has a finite useful life, it is depreciated. Assets with indefinite useful lives are not depreciated, but are subject to impairment testing. The indefinite nature is reviewed at each reporting date.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Group’s other intangible assets include software, patents and processes, and development costs.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depreciation period for software varies between 2 and 3 years. Patents and processes resulting from the acquisition of MCF, Qu&amp;Co, and Aeponyx, are depreciated over 6 years, 4 years and 10 years respectively.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Development costs on an individual project are recognized as an intangible asset when the Group can demonstrate: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technical feasibility of completing the intangible asset so that the asset will be available for use or sale;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Its intention to complete and its ability and intention to use or sell the asset;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the asset will generate future economic benefits;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resources to complete the asset;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measure reliably the expenditure during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incurred for development costs relate to the improvement of products or technologies that will be used by one or more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capitalized as development costs include employee expenses, external costs, and project-specific purchasing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initial recognition of the development costs as an asset, the asset is carried at cost less any accumulated amortization and accumulated impairment losses. Amortization of the asset begins when development is complete, and the asset is available for use. It is amortized over the period of expected future benefit. The amortization period for such projects is five years from the estimated date of commissioning. This amortization period is reviewed by management based on changes in products and/or technologies. During the period of development, the asset is tested for impairment annually.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4110"/>
        <w:gridCol w:w="146"/>
        <w:gridCol w:w="1197"/>
        <w:gridCol w:w="356"/>
        <w:gridCol w:w="146"/>
        <w:gridCol w:w="1199"/>
        <w:gridCol w:w="315"/>
        <w:gridCol w:w="146"/>
        <w:gridCol w:w="946"/>
        <w:gridCol w:w="292"/>
        <w:gridCol w:w="146"/>
        <w:gridCol w:w="916"/>
        <w:gridCol w:w="290"/>
      </w:tblGrid>
      <w:tr>
        <w:trPr/>
        <w:tc>
          <w:tcPr>
            <w:tcW w:w="41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5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Development </w:t>
              <w:br/>
              <w:t>costs</w:t>
            </w:r>
          </w:p>
        </w:tc>
        <w:tc>
          <w:tcPr>
            <w:tcW w:w="146" w:type="dxa"/>
            <w:tcBorders/>
            <w:vAlign w:val="bottom"/>
          </w:tcPr>
          <w:p>
            <w:pPr>
              <w:pStyle w:val="TableContents"/>
              <w:bidi w:val="0"/>
              <w:spacing w:before="0" w:after="283"/>
              <w:jc w:val="left"/>
              <w:rPr/>
            </w:pPr>
            <w:r>
              <w:rPr/>
              <w:t> </w:t>
            </w:r>
          </w:p>
        </w:tc>
        <w:tc>
          <w:tcPr>
            <w:tcW w:w="15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Concessions, </w:t>
              <w:br/>
              <w:t xml:space="preserve">patents, </w:t>
              <w:br/>
              <w:t xml:space="preserve">licenses and </w:t>
              <w:br/>
              <w:t>similar assets</w:t>
            </w:r>
          </w:p>
        </w:tc>
        <w:tc>
          <w:tcPr>
            <w:tcW w:w="146"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Intangible </w:t>
              <w:br/>
              <w:t xml:space="preserve">assets in </w:t>
              <w:br/>
              <w:t>progress</w:t>
            </w:r>
          </w:p>
        </w:tc>
        <w:tc>
          <w:tcPr>
            <w:tcW w:w="146" w:type="dxa"/>
            <w:tcBorders/>
            <w:vAlign w:val="bottom"/>
          </w:tcPr>
          <w:p>
            <w:pPr>
              <w:pStyle w:val="TableContents"/>
              <w:bidi w:val="0"/>
              <w:spacing w:before="0" w:after="283"/>
              <w:jc w:val="left"/>
              <w:rPr/>
            </w:pPr>
            <w:r>
              <w:rPr/>
              <w:t> </w:t>
            </w:r>
          </w:p>
        </w:tc>
        <w:tc>
          <w:tcPr>
            <w:tcW w:w="12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intangible assets at January 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1,765</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1,882</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330</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3,977</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3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13,165</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13,165</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intangible assets at December 31,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1,765</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15,044</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1,368</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18,177</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4,830</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5,117</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intangible assets at December 31, 2025</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1,765</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14,396</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6,305</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22,467</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left"/>
              <w:rPr/>
            </w:pPr>
            <w:r>
              <w:rPr/>
              <w:t> </w:t>
            </w:r>
          </w:p>
        </w:tc>
        <w:tc>
          <w:tcPr>
            <w:tcW w:w="3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January 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w:t>
            </w:r>
          </w:p>
        </w:tc>
        <w:tc>
          <w:tcPr>
            <w:tcW w:w="3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(824</w:t>
            </w:r>
          </w:p>
        </w:tc>
        <w:tc>
          <w:tcPr>
            <w:tcW w:w="31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(1,627</w:t>
            </w:r>
          </w:p>
        </w:tc>
        <w:tc>
          <w:tcPr>
            <w:tcW w:w="29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Increase(2)</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w:t>
            </w:r>
          </w:p>
        </w:tc>
        <w:tc>
          <w:tcPr>
            <w:tcW w:w="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December 31,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(1,156</w:t>
            </w:r>
          </w:p>
        </w:tc>
        <w:tc>
          <w:tcPr>
            <w:tcW w:w="3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(2,138</w:t>
            </w:r>
          </w:p>
        </w:tc>
        <w:tc>
          <w:tcPr>
            <w:tcW w:w="31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(3,294</w:t>
            </w:r>
          </w:p>
        </w:tc>
        <w:tc>
          <w:tcPr>
            <w:tcW w:w="29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4110"/>
        <w:gridCol w:w="146"/>
        <w:gridCol w:w="1197"/>
        <w:gridCol w:w="356"/>
        <w:gridCol w:w="146"/>
        <w:gridCol w:w="1199"/>
        <w:gridCol w:w="315"/>
        <w:gridCol w:w="146"/>
        <w:gridCol w:w="946"/>
        <w:gridCol w:w="292"/>
        <w:gridCol w:w="146"/>
        <w:gridCol w:w="916"/>
        <w:gridCol w:w="290"/>
      </w:tblGrid>
      <w:tr>
        <w:trPr/>
        <w:tc>
          <w:tcPr>
            <w:tcW w:w="41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5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Development </w:t>
              <w:br/>
              <w:t>costs</w:t>
            </w:r>
          </w:p>
        </w:tc>
        <w:tc>
          <w:tcPr>
            <w:tcW w:w="146" w:type="dxa"/>
            <w:tcBorders/>
            <w:vAlign w:val="bottom"/>
          </w:tcPr>
          <w:p>
            <w:pPr>
              <w:pStyle w:val="TableContents"/>
              <w:bidi w:val="0"/>
              <w:spacing w:before="0" w:after="283"/>
              <w:jc w:val="left"/>
              <w:rPr/>
            </w:pPr>
            <w:r>
              <w:rPr/>
              <w:t> </w:t>
            </w:r>
          </w:p>
        </w:tc>
        <w:tc>
          <w:tcPr>
            <w:tcW w:w="15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Concessions, </w:t>
              <w:br/>
              <w:t xml:space="preserve">patents, </w:t>
              <w:br/>
              <w:t xml:space="preserve">licenses and </w:t>
              <w:br/>
              <w:t>similar assets</w:t>
            </w:r>
          </w:p>
        </w:tc>
        <w:tc>
          <w:tcPr>
            <w:tcW w:w="146"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Intangible </w:t>
              <w:br/>
              <w:t xml:space="preserve">assets in </w:t>
              <w:br/>
              <w:t>progress</w:t>
            </w:r>
          </w:p>
        </w:tc>
        <w:tc>
          <w:tcPr>
            <w:tcW w:w="146" w:type="dxa"/>
            <w:tcBorders/>
            <w:vAlign w:val="bottom"/>
          </w:tcPr>
          <w:p>
            <w:pPr>
              <w:pStyle w:val="TableContents"/>
              <w:bidi w:val="0"/>
              <w:spacing w:before="0" w:after="283"/>
              <w:jc w:val="left"/>
              <w:rPr/>
            </w:pPr>
            <w:r>
              <w:rPr/>
              <w:t> </w:t>
            </w:r>
          </w:p>
        </w:tc>
        <w:tc>
          <w:tcPr>
            <w:tcW w:w="12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w:t>
            </w:r>
          </w:p>
        </w:tc>
        <w:tc>
          <w:tcPr>
            <w:tcW w:w="3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(1,447</w:t>
            </w:r>
          </w:p>
        </w:tc>
        <w:tc>
          <w:tcPr>
            <w:tcW w:w="3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(1,787</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December 31, 2025</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(1,495</w:t>
            </w:r>
          </w:p>
        </w:tc>
        <w:tc>
          <w:tcPr>
            <w:tcW w:w="35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(3,520</w:t>
            </w:r>
          </w:p>
        </w:tc>
        <w:tc>
          <w:tcPr>
            <w:tcW w:w="315"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(5,016</w:t>
            </w:r>
          </w:p>
        </w:tc>
        <w:tc>
          <w:tcPr>
            <w:tcW w:w="290"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intangible assets at January 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963</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1,058</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330</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2,351</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w:t>
            </w:r>
          </w:p>
        </w:tc>
        <w:tc>
          <w:tcPr>
            <w:tcW w:w="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(1,513</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3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13,165</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13,165</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intangible assets at December 31,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610</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12,906</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1,368</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14,883</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w:t>
            </w:r>
          </w:p>
        </w:tc>
        <w:tc>
          <w:tcPr>
            <w:tcW w:w="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4,830</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3,330</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intangible assets at December 31, 2025</w:t>
            </w:r>
          </w:p>
        </w:tc>
        <w:tc>
          <w:tcPr>
            <w:tcW w:w="146" w:type="dxa"/>
            <w:tcBorders/>
            <w:shd w:fill="CCEEFF" w:val="clear"/>
            <w:vAlign w:val="bottom"/>
          </w:tcPr>
          <w:p>
            <w:pPr>
              <w:pStyle w:val="TableContents"/>
              <w:bidi w:val="0"/>
              <w:spacing w:before="0" w:after="283"/>
              <w:jc w:val="left"/>
              <w:rPr/>
            </w:pPr>
            <w:r>
              <w:rPr/>
              <w:t> </w:t>
            </w:r>
          </w:p>
        </w:tc>
        <w:tc>
          <w:tcPr>
            <w:tcW w:w="11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270</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10,876</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6,305</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17,451</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Changes in scope relate to the acquisition of Aeponyx in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Intangible assets related to Qu&amp;Co were impaired for an amount of €290 thousand as of December 31, 2024, following the closure on June 24, 2025. This was recorded under “Net impairment losses”. See Note 2.1.1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intangible assets under development in 2025 primarily reflects development expenditures incurred by Pasqal SAS and Aeponyx that meet the capitalization criteria. Non-capitalized research and development costs amounted to €8,171 thousand and €18,866 thousand for the years ended December 31, 2025 and 2024,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indications of impairment of intangible assets as of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 Property, plant &amp; equipment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are recognized in the consolidated financial statements at their acquisition or production cost, or their fair value when acquired in a business combination, less accumulated depreciation and impairment losses recognized.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to recognize property, plant and equipment at amortized historical cost.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IAS 16, depreciation is calculated based on the estimated useful lives of the various categories of fixed assets. Where applicable, the total cost of a tangible asset is allocated among its various components, each of which is recognized separately. This is the case when the various components of an asset have different useful lives or provide benefits to the company at different rates, requiring the use of different depreciation rates and methods.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has been determined based on the rate of consumption of the expected economic benefits per asset item on the basis of acquisition cost, according to its probable use. Useful lives are reviewed annually and are adjusted if current expectations differ from previous estimates; these changes in accounting estimates are recognized prospectively.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calculated using the straight-line method, based on the useful lives of each fixed asset component, as follows:</w:t>
      </w:r>
    </w:p>
    <w:tbl>
      <w:tblPr>
        <w:tblW w:w="9850" w:type="dxa"/>
        <w:jc w:val="left"/>
        <w:tblInd w:w="0" w:type="dxa"/>
        <w:tblLayout w:type="fixed"/>
        <w:tblCellMar>
          <w:top w:w="0" w:type="dxa"/>
          <w:left w:w="0" w:type="dxa"/>
          <w:bottom w:w="0" w:type="dxa"/>
          <w:right w:w="0" w:type="dxa"/>
        </w:tblCellMar>
      </w:tblPr>
      <w:tblGrid>
        <w:gridCol w:w="6451"/>
        <w:gridCol w:w="146"/>
        <w:gridCol w:w="1531"/>
        <w:gridCol w:w="146"/>
        <w:gridCol w:w="1576"/>
      </w:tblGrid>
      <w:tr>
        <w:trPr/>
        <w:tc>
          <w:tcPr>
            <w:tcW w:w="6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Item type</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Depreciation </w:t>
              <w:br/>
              <w:t>method</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Depreciation </w:t>
              <w:br/>
              <w:t>duration</w:t>
            </w:r>
          </w:p>
        </w:tc>
      </w:tr>
      <w:tr>
        <w:trPr/>
        <w:tc>
          <w:tcPr>
            <w:tcW w:w="6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Technical installations, tools and equipment</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Straight-line</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10 years</w:t>
            </w:r>
          </w:p>
        </w:tc>
      </w:tr>
      <w:tr>
        <w:trPr/>
        <w:tc>
          <w:tcPr>
            <w:tcW w:w="6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fixtures, transport equipment, office furniture, etc.</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Straight-line</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3 to 10 years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1078" w:type="dxa"/>
        <w:jc w:val="left"/>
        <w:tblInd w:w="0" w:type="dxa"/>
        <w:tblLayout w:type="fixed"/>
        <w:tblCellMar>
          <w:top w:w="0" w:type="dxa"/>
          <w:left w:w="0" w:type="dxa"/>
          <w:bottom w:w="0" w:type="dxa"/>
          <w:right w:w="0" w:type="dxa"/>
        </w:tblCellMar>
      </w:tblPr>
      <w:tblGrid>
        <w:gridCol w:w="1466"/>
        <w:gridCol w:w="146"/>
        <w:gridCol w:w="916"/>
        <w:gridCol w:w="375"/>
        <w:gridCol w:w="146"/>
        <w:gridCol w:w="916"/>
        <w:gridCol w:w="361"/>
        <w:gridCol w:w="146"/>
        <w:gridCol w:w="728"/>
        <w:gridCol w:w="293"/>
        <w:gridCol w:w="146"/>
        <w:gridCol w:w="810"/>
        <w:gridCol w:w="481"/>
        <w:gridCol w:w="146"/>
        <w:gridCol w:w="995"/>
        <w:gridCol w:w="296"/>
        <w:gridCol w:w="146"/>
        <w:gridCol w:w="781"/>
        <w:gridCol w:w="436"/>
        <w:gridCol w:w="146"/>
        <w:gridCol w:w="916"/>
        <w:gridCol w:w="286"/>
      </w:tblGrid>
      <w:tr>
        <w:trPr/>
        <w:tc>
          <w:tcPr>
            <w:tcW w:w="1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w:t>
              <w:br/>
              <w:t xml:space="preserve">equipment </w:t>
              <w:br/>
              <w:t xml:space="preserve">and </w:t>
              <w:br/>
              <w:t>machinery</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w:t>
              <w:br/>
              <w:t xml:space="preserve">and </w:t>
              <w:br/>
              <w:t>fittings</w:t>
            </w:r>
          </w:p>
        </w:tc>
        <w:tc>
          <w:tcPr>
            <w:tcW w:w="146"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Office </w:t>
              <w:br/>
              <w:t>supplies</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Transport </w:t>
              <w:br/>
              <w:t>equipment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Hardware </w:t>
              <w:br/>
              <w:t>equipment</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Tangible </w:t>
              <w:br/>
              <w:t xml:space="preserve">assets in </w:t>
              <w:br/>
              <w:t>progress</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property, plant and equipment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5,734</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1,814</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3,049</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4,065</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14,814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3,932</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14,629</w:t>
            </w:r>
          </w:p>
        </w:tc>
        <w:tc>
          <w:tcPr>
            <w:tcW w:w="36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w:t>
            </w:r>
          </w:p>
        </w:tc>
        <w:tc>
          <w:tcPr>
            <w:tcW w:w="3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851</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property, plant and equipment at December 31,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9,166</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16,799</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284</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3,539</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3,604</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33,396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1,728</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3,485</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3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w:t>
            </w:r>
          </w:p>
        </w:tc>
        <w:tc>
          <w:tcPr>
            <w:tcW w:w="37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2,006</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(6,019</w:t>
            </w:r>
          </w:p>
        </w:tc>
        <w:tc>
          <w:tcPr>
            <w:tcW w:w="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property, plant and equipment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14,366</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18,900</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744</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3,598</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1,069</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property, plant, and equipment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(1,134</w:t>
            </w:r>
          </w:p>
        </w:tc>
        <w:tc>
          <w:tcPr>
            <w:tcW w:w="37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(252</w:t>
            </w:r>
          </w:p>
        </w:tc>
        <w:tc>
          <w:tcPr>
            <w:tcW w:w="36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4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(832</w:t>
            </w:r>
          </w:p>
        </w:tc>
        <w:tc>
          <w:tcPr>
            <w:tcW w:w="2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(2,277</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w:t>
            </w:r>
          </w:p>
        </w:tc>
        <w:tc>
          <w:tcPr>
            <w:tcW w:w="3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property, plant, and equipment at December 31,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(2,532</w:t>
            </w:r>
          </w:p>
        </w:tc>
        <w:tc>
          <w:tcPr>
            <w:tcW w:w="37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(782</w:t>
            </w:r>
          </w:p>
        </w:tc>
        <w:tc>
          <w:tcPr>
            <w:tcW w:w="36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w:t>
            </w:r>
          </w:p>
        </w:tc>
        <w:tc>
          <w:tcPr>
            <w:tcW w:w="4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(1,902</w:t>
            </w:r>
          </w:p>
        </w:tc>
        <w:tc>
          <w:tcPr>
            <w:tcW w:w="2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(5,319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tbl>
      <w:tblPr>
        <w:tblW w:w="10837" w:type="dxa"/>
        <w:jc w:val="left"/>
        <w:tblInd w:w="0" w:type="dxa"/>
        <w:tblLayout w:type="fixed"/>
        <w:tblCellMar>
          <w:top w:w="0" w:type="dxa"/>
          <w:left w:w="0" w:type="dxa"/>
          <w:bottom w:w="0" w:type="dxa"/>
          <w:right w:w="0" w:type="dxa"/>
        </w:tblCellMar>
      </w:tblPr>
      <w:tblGrid>
        <w:gridCol w:w="1466"/>
        <w:gridCol w:w="146"/>
        <w:gridCol w:w="995"/>
        <w:gridCol w:w="296"/>
        <w:gridCol w:w="146"/>
        <w:gridCol w:w="916"/>
        <w:gridCol w:w="241"/>
        <w:gridCol w:w="146"/>
        <w:gridCol w:w="728"/>
        <w:gridCol w:w="293"/>
        <w:gridCol w:w="146"/>
        <w:gridCol w:w="810"/>
        <w:gridCol w:w="481"/>
        <w:gridCol w:w="146"/>
        <w:gridCol w:w="995"/>
        <w:gridCol w:w="296"/>
        <w:gridCol w:w="146"/>
        <w:gridCol w:w="814"/>
        <w:gridCol w:w="252"/>
        <w:gridCol w:w="146"/>
        <w:gridCol w:w="946"/>
        <w:gridCol w:w="286"/>
      </w:tblGrid>
      <w:tr>
        <w:trPr/>
        <w:tc>
          <w:tcPr>
            <w:tcW w:w="1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w:t>
              <w:br/>
              <w:t xml:space="preserve">equipment </w:t>
              <w:br/>
              <w:t xml:space="preserve">and </w:t>
              <w:br/>
              <w:t>machinery</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w:t>
              <w:br/>
              <w:t xml:space="preserve">and </w:t>
              <w:br/>
              <w:t>fittings</w:t>
            </w:r>
          </w:p>
        </w:tc>
        <w:tc>
          <w:tcPr>
            <w:tcW w:w="146"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Office </w:t>
              <w:br/>
              <w:t>supplies</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Transport </w:t>
              <w:br/>
              <w:t>equipment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Hardware </w:t>
              <w:br/>
              <w:t>equipment</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Tangible </w:t>
              <w:br/>
              <w:t xml:space="preserve">assets in </w:t>
              <w:br/>
              <w:t>progress</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(2,192</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property, plant, and equipment at December 31, 2025</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(4,670</w:t>
            </w:r>
          </w:p>
        </w:tc>
        <w:tc>
          <w:tcPr>
            <w:tcW w:w="29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(2,722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w:t>
            </w:r>
          </w:p>
        </w:tc>
        <w:tc>
          <w:tcPr>
            <w:tcW w:w="29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8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(3,008</w:t>
            </w:r>
          </w:p>
        </w:tc>
        <w:tc>
          <w:tcPr>
            <w:tcW w:w="29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(10,561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property, plant and equipment at January 1, 2024</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4,600</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2,216</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4,065</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2,534</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property, plant and equipment at December 31, 2024</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6,633</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1,638</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3,604</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28,077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(1,042</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3,485</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(6,019</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property, plant and equipment at December 31, 2025</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9,696</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586</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590</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1,069</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28,119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change in 2024 mainly relates to the refurbishment works of the Company’s head office (Phenix premises) in Palaiseau.</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The reclassification reflects the commissioning of a QPU, transferred from tangible assets in progress to Plant, equipment and machinery on July 01,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indications of impairment of property, plant &amp; equipment as of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 Right-of-use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11 for further disclosures on the accounting policies related to leases.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5754"/>
        <w:gridCol w:w="146"/>
        <w:gridCol w:w="1101"/>
        <w:gridCol w:w="289"/>
        <w:gridCol w:w="146"/>
        <w:gridCol w:w="945"/>
        <w:gridCol w:w="474"/>
        <w:gridCol w:w="146"/>
        <w:gridCol w:w="916"/>
        <w:gridCol w:w="288"/>
      </w:tblGrid>
      <w:tr>
        <w:trPr/>
        <w:tc>
          <w:tcPr>
            <w:tcW w:w="57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Right of use </w:t>
              <w:br/>
              <w:t>real estate</w:t>
            </w:r>
          </w:p>
        </w:tc>
        <w:tc>
          <w:tcPr>
            <w:tcW w:w="146" w:type="dxa"/>
            <w:tcBorders/>
            <w:vAlign w:val="bottom"/>
          </w:tcPr>
          <w:p>
            <w:pPr>
              <w:pStyle w:val="TableContents"/>
              <w:bidi w:val="0"/>
              <w:spacing w:before="0" w:after="283"/>
              <w:jc w:val="left"/>
              <w:rPr/>
            </w:pPr>
            <w:r>
              <w:rPr/>
              <w:t> </w:t>
            </w:r>
          </w:p>
        </w:tc>
        <w:tc>
          <w:tcPr>
            <w:tcW w:w="141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Right of use </w:t>
              <w:br/>
              <w:t xml:space="preserve">of transport </w:t>
              <w:br/>
              <w:t>equipment</w:t>
            </w:r>
          </w:p>
        </w:tc>
        <w:tc>
          <w:tcPr>
            <w:tcW w:w="146"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Rights of use of assets at January 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2,984</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3,004</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(1,724</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(1,724</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Rights of use of assets at December 31,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12,542</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12,562</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Rights of use of assets at December 31, 2025</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11,489</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11,489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left"/>
              <w:rPr/>
            </w:pPr>
            <w:r>
              <w:rPr/>
              <w:t> </w:t>
            </w:r>
          </w:p>
        </w:tc>
        <w:tc>
          <w:tcPr>
            <w:tcW w:w="4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of rights of use of assets at January 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(885</w:t>
            </w:r>
          </w:p>
        </w:tc>
        <w:tc>
          <w:tcPr>
            <w:tcW w:w="28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47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(890</w:t>
            </w:r>
          </w:p>
        </w:tc>
        <w:tc>
          <w:tcPr>
            <w:tcW w:w="28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(1,747</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of rights of use of assets at December 31,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(1,971</w:t>
            </w:r>
          </w:p>
        </w:tc>
        <w:tc>
          <w:tcPr>
            <w:tcW w:w="28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w:t>
            </w:r>
          </w:p>
        </w:tc>
        <w:tc>
          <w:tcPr>
            <w:tcW w:w="47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(1,979</w:t>
            </w:r>
          </w:p>
        </w:tc>
        <w:tc>
          <w:tcPr>
            <w:tcW w:w="28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(1,617</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of rights of use of assets at December 31, 2025</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(2,511</w:t>
            </w:r>
          </w:p>
        </w:tc>
        <w:tc>
          <w:tcPr>
            <w:tcW w:w="28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(2,511</w:t>
            </w:r>
          </w:p>
        </w:tc>
        <w:tc>
          <w:tcPr>
            <w:tcW w:w="28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left"/>
              <w:rPr/>
            </w:pPr>
            <w:r>
              <w:rPr/>
              <w:t> </w:t>
            </w:r>
          </w:p>
        </w:tc>
        <w:tc>
          <w:tcPr>
            <w:tcW w:w="4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right of use assets at January 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2,099</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2,114</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9,546</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9,542</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right of use assets at December 31,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10,571</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10,583</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right of use assets at December 31, 2025</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8,978</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8,978</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Group’s right-of-use assets relate primarily to real estate located in France and Canada,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Phenix Palaiseau for €6,314 thousand;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Office and production sites in Sherbrooke, Quebec, for €1,145 thousand;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Gabriel Peri — Joinville le Pont for €977 thousand.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 Other non-current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Classification and measurement of financial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financial assets are classified, at initial recognition, as subsequently measured at amortized cost.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classification of financial assets at initial recognition depends on the financial asset’s contractual cash flow characteristics and the Group’s business model for managing them. The Group’s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amortized cost are held within a business model with the objective to hold financial assets in order to collect contractual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initially measures its financial assets at their fair value plus transaction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 that do not contain a significant financing component or for which the Group has applied the practical expedient are measured at the transaction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at amortized cost are subsequently measured using the effective interest rate (EIR) method and are subject to impairment. Gains and losses are recognized in profit or loss when the asset is derecognized, modified or impaired.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Impairment of financial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recognizes an allowance for expected credit losses (ECLs) for financial assets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ECLs are recognized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trade receivables, the Group applies a simplified approach in calculating ECLs. Therefore, the Group does not track changes in credit risk, but instead recognizes a loss allowance, where applicable on a case-by-case basis, based on lifetime ECLs at each reporting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058" w:type="dxa"/>
        <w:jc w:val="left"/>
        <w:tblInd w:w="0" w:type="dxa"/>
        <w:tblLayout w:type="fixed"/>
        <w:tblCellMar>
          <w:top w:w="0" w:type="dxa"/>
          <w:left w:w="0" w:type="dxa"/>
          <w:bottom w:w="0" w:type="dxa"/>
          <w:right w:w="0" w:type="dxa"/>
        </w:tblCellMar>
      </w:tblPr>
      <w:tblGrid>
        <w:gridCol w:w="5761"/>
        <w:gridCol w:w="146"/>
        <w:gridCol w:w="916"/>
        <w:gridCol w:w="241"/>
        <w:gridCol w:w="146"/>
        <w:gridCol w:w="1146"/>
        <w:gridCol w:w="354"/>
        <w:gridCol w:w="146"/>
        <w:gridCol w:w="916"/>
        <w:gridCol w:w="286"/>
      </w:tblGrid>
      <w:tr>
        <w:trPr/>
        <w:tc>
          <w:tcPr>
            <w:tcW w:w="57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Deposits</w:t>
            </w:r>
          </w:p>
        </w:tc>
        <w:tc>
          <w:tcPr>
            <w:tcW w:w="146" w:type="dxa"/>
            <w:tcBorders/>
            <w:vAlign w:val="bottom"/>
          </w:tcPr>
          <w:p>
            <w:pPr>
              <w:pStyle w:val="TableContents"/>
              <w:bidi w:val="0"/>
              <w:spacing w:before="0" w:after="283"/>
              <w:jc w:val="left"/>
              <w:rPr/>
            </w:pPr>
            <w:r>
              <w:rPr/>
              <w:t> </w:t>
            </w:r>
          </w:p>
        </w:tc>
        <w:tc>
          <w:tcPr>
            <w:tcW w:w="15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Government </w:t>
              <w:br/>
              <w:t xml:space="preserve">grant </w:t>
              <w:br/>
              <w:t>receivables –</w:t>
              <w:br/>
              <w:t>non-current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financial assets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2,876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1,517</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financial assets at December 31, 2024</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1,517</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12,719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2,209</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3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(2,172</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scope(2)</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financial assets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1,198</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Corresponds to the reclassification of the current portion of government grant receivables as at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Changes in scope in 2025 mainly relate to the liquidation of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other non-current financial assets mainly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Deposits for an amount of €8,421 thousand, of which term deposits amounting to €7,340 thousand as part of a First Demand Guarantee relating to the contract with the customer Saudi Arabian Oil Company. The deposit bears interest at a gross nominal rate of 4.86%. The first-demand bank guarantee of €2,314 thousand was recovered in 2025 following the cancellation of the Paris lease (see Note 12 for further disclosure).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non-current portion of government grants to be received for an amount of €1,198 thousand.</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Current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 Inventories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consist of raw materials and other supplies, purchased parts (lasers, etc.), semi-finished/semi-assembled products, and finished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and work in progress are valued at their cost or market price, whichever is lower.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of raw materials, other supplies, and purchased parts are valued at acquisition cost using the weighted average unit cost method (WAUC). This acquisition cost includes the purchase price and incidental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product inventories are valued at production cost. Financial expenses are not included in the valuation of inventories.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realizable value of inventories is lower than their cost, the necessary write-downs are recognized.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are valued at the lower of cost and net realizable value. Net realizable value is the estimated selling price in the ordinary course of business, less estimated costs of completion and the estimated costs necessary to make the sale.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Current assets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2888"/>
        <w:gridCol w:w="146"/>
        <w:gridCol w:w="916"/>
        <w:gridCol w:w="146"/>
        <w:gridCol w:w="1089"/>
        <w:gridCol w:w="277"/>
        <w:gridCol w:w="146"/>
        <w:gridCol w:w="916"/>
        <w:gridCol w:w="146"/>
        <w:gridCol w:w="916"/>
        <w:gridCol w:w="146"/>
        <w:gridCol w:w="1017"/>
        <w:gridCol w:w="349"/>
        <w:gridCol w:w="146"/>
        <w:gridCol w:w="961"/>
      </w:tblGrid>
      <w:tr>
        <w:trPr/>
        <w:tc>
          <w:tcPr>
            <w:tcW w:w="288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90"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535"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28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r>
      <w:tr>
        <w:trPr/>
        <w:tc>
          <w:tcPr>
            <w:tcW w:w="28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 and other supplies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6,166</w:t>
            </w:r>
          </w:p>
        </w:tc>
        <w:tc>
          <w:tcPr>
            <w:tcW w:w="146"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6,166</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w:t>
            </w:r>
          </w:p>
        </w:tc>
      </w:tr>
      <w:tr>
        <w:trPr/>
        <w:tc>
          <w:tcPr>
            <w:tcW w:w="288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 in progress – goods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6,695</w:t>
            </w:r>
          </w:p>
        </w:tc>
        <w:tc>
          <w:tcPr>
            <w:tcW w:w="146" w:type="dxa"/>
            <w:tcBorders/>
            <w:vAlign w:val="bottom"/>
          </w:tcPr>
          <w:p>
            <w:pPr>
              <w:pStyle w:val="TableContents"/>
              <w:bidi w:val="0"/>
              <w:spacing w:before="0" w:after="283"/>
              <w:jc w:val="left"/>
              <w:rPr/>
            </w:pPr>
            <w:r>
              <w:rPr/>
              <w:t> </w:t>
            </w:r>
          </w:p>
        </w:tc>
        <w:tc>
          <w:tcPr>
            <w:tcW w:w="108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w:t>
            </w:r>
          </w:p>
        </w:tc>
        <w:tc>
          <w:tcPr>
            <w:tcW w:w="27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5,417</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3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w:t>
            </w:r>
          </w:p>
        </w:tc>
      </w:tr>
      <w:tr>
        <w:trPr/>
        <w:tc>
          <w:tcPr>
            <w:tcW w:w="28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12,861</w:t>
            </w:r>
          </w:p>
        </w:tc>
        <w:tc>
          <w:tcPr>
            <w:tcW w:w="146" w:type="dxa"/>
            <w:tcBorders/>
            <w:shd w:fill="CCEEFF" w:val="clear"/>
            <w:vAlign w:val="bottom"/>
          </w:tcPr>
          <w:p>
            <w:pPr>
              <w:pStyle w:val="TableContents"/>
              <w:bidi w:val="0"/>
              <w:spacing w:before="0" w:after="283"/>
              <w:jc w:val="left"/>
              <w:rPr/>
            </w:pPr>
            <w:r>
              <w:rPr/>
              <w:t> </w:t>
            </w:r>
          </w:p>
        </w:tc>
        <w:tc>
          <w:tcPr>
            <w:tcW w:w="108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(1,552</w:t>
            </w:r>
          </w:p>
        </w:tc>
        <w:tc>
          <w:tcPr>
            <w:tcW w:w="27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11,309</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14,773</w:t>
            </w:r>
          </w:p>
        </w:tc>
        <w:tc>
          <w:tcPr>
            <w:tcW w:w="146" w:type="dxa"/>
            <w:tcBorders/>
            <w:shd w:fill="CCEEFF" w:val="clear"/>
            <w:vAlign w:val="bottom"/>
          </w:tcPr>
          <w:p>
            <w:pPr>
              <w:pStyle w:val="TableContents"/>
              <w:bidi w:val="0"/>
              <w:spacing w:before="0" w:after="283"/>
              <w:jc w:val="left"/>
              <w:rPr/>
            </w:pPr>
            <w:r>
              <w:rPr/>
              <w:t> </w:t>
            </w:r>
          </w:p>
        </w:tc>
        <w:tc>
          <w:tcPr>
            <w:tcW w:w="10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(235</w:t>
            </w:r>
          </w:p>
        </w:tc>
        <w:tc>
          <w:tcPr>
            <w:tcW w:w="3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14,538</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Breakdown of inventories as of December 31, 2025, by geographic area is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France: €8,234 thousand (€10,958 thousand in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Canada: €2,791 thousand (€3,580 thousand in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 of the world: €284 thousand (nil in 2024).</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geographical breakdown corresponds to the Group’s production and storage areas.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contract with Québec Inc., a subsidiary of DistriQ, Pasqal recognized an impairment of work in progress amounting to €1,552 thousand as of December 31, 2025 and €235 thousand as of December 31, 2024. See Note 12 for further disclosure.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impairment of inventory was recognized for the year ended December 31, 2025. Management believes that the impairment risk of the components in inventory is low, given the projected revenue for 2026 and the order backlog.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 Trade receivables</w:t>
      </w:r>
    </w:p>
    <w:tbl>
      <w:tblPr>
        <w:tblW w:w="10205" w:type="dxa"/>
        <w:jc w:val="left"/>
        <w:tblInd w:w="0" w:type="dxa"/>
        <w:tblLayout w:type="fixed"/>
        <w:tblCellMar>
          <w:top w:w="0" w:type="dxa"/>
          <w:left w:w="0" w:type="dxa"/>
          <w:bottom w:w="0" w:type="dxa"/>
          <w:right w:w="0" w:type="dxa"/>
        </w:tblCellMar>
      </w:tblPr>
      <w:tblGrid>
        <w:gridCol w:w="3428"/>
        <w:gridCol w:w="146"/>
        <w:gridCol w:w="781"/>
        <w:gridCol w:w="146"/>
        <w:gridCol w:w="1366"/>
        <w:gridCol w:w="146"/>
        <w:gridCol w:w="781"/>
        <w:gridCol w:w="146"/>
        <w:gridCol w:w="781"/>
        <w:gridCol w:w="146"/>
        <w:gridCol w:w="1366"/>
        <w:gridCol w:w="146"/>
        <w:gridCol w:w="826"/>
      </w:tblGrid>
      <w:tr>
        <w:trPr/>
        <w:tc>
          <w:tcPr>
            <w:tcW w:w="342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2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2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34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r>
      <w:tr>
        <w:trPr/>
        <w:tc>
          <w:tcPr>
            <w:tcW w:w="3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and related accounts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5,608</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5,608</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w:t>
            </w:r>
          </w:p>
        </w:tc>
      </w:tr>
      <w:tr>
        <w:trPr/>
        <w:tc>
          <w:tcPr>
            <w:tcW w:w="3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5,608</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5,608</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2,133</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2,133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expected credit losses is not significant and not recognized as of December 31, 2025 and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 Other current assets</w:t>
      </w:r>
    </w:p>
    <w:tbl>
      <w:tblPr>
        <w:tblW w:w="10205" w:type="dxa"/>
        <w:jc w:val="left"/>
        <w:tblInd w:w="0" w:type="dxa"/>
        <w:tblLayout w:type="fixed"/>
        <w:tblCellMar>
          <w:top w:w="0" w:type="dxa"/>
          <w:left w:w="0" w:type="dxa"/>
          <w:bottom w:w="0" w:type="dxa"/>
          <w:right w:w="0" w:type="dxa"/>
        </w:tblCellMar>
      </w:tblPr>
      <w:tblGrid>
        <w:gridCol w:w="2888"/>
        <w:gridCol w:w="146"/>
        <w:gridCol w:w="916"/>
        <w:gridCol w:w="146"/>
        <w:gridCol w:w="910"/>
        <w:gridCol w:w="456"/>
        <w:gridCol w:w="146"/>
        <w:gridCol w:w="916"/>
        <w:gridCol w:w="146"/>
        <w:gridCol w:w="916"/>
        <w:gridCol w:w="146"/>
        <w:gridCol w:w="1366"/>
        <w:gridCol w:w="146"/>
        <w:gridCol w:w="961"/>
      </w:tblGrid>
      <w:tr>
        <w:trPr/>
        <w:tc>
          <w:tcPr>
            <w:tcW w:w="288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90"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53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28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r>
      <w:tr>
        <w:trPr/>
        <w:tc>
          <w:tcPr>
            <w:tcW w:w="28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 – current(1)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8,216</w:t>
            </w:r>
          </w:p>
        </w:tc>
        <w:tc>
          <w:tcPr>
            <w:tcW w:w="146"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4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9,353</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9,353</w:t>
            </w:r>
          </w:p>
        </w:tc>
      </w:tr>
      <w:tr>
        <w:trPr/>
        <w:tc>
          <w:tcPr>
            <w:tcW w:w="288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receivables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w:t>
            </w:r>
          </w:p>
        </w:tc>
        <w:tc>
          <w:tcPr>
            <w:tcW w:w="146" w:type="dxa"/>
            <w:tcBorders/>
            <w:vAlign w:val="bottom"/>
          </w:tcPr>
          <w:p>
            <w:pPr>
              <w:pStyle w:val="TableContents"/>
              <w:bidi w:val="0"/>
              <w:spacing w:before="0" w:after="283"/>
              <w:jc w:val="left"/>
              <w:rPr/>
            </w:pPr>
            <w:r>
              <w:rPr/>
              <w:t> </w:t>
            </w:r>
          </w:p>
        </w:tc>
        <w:tc>
          <w:tcPr>
            <w:tcW w:w="9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4,316</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4,316</w:t>
            </w:r>
          </w:p>
        </w:tc>
      </w:tr>
      <w:tr>
        <w:trPr/>
        <w:tc>
          <w:tcPr>
            <w:tcW w:w="28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receivables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2,210</w:t>
            </w:r>
          </w:p>
        </w:tc>
      </w:tr>
      <w:tr>
        <w:trPr/>
        <w:tc>
          <w:tcPr>
            <w:tcW w:w="288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13,338</w:t>
            </w:r>
          </w:p>
        </w:tc>
        <w:tc>
          <w:tcPr>
            <w:tcW w:w="146" w:type="dxa"/>
            <w:tcBorders/>
            <w:vAlign w:val="bottom"/>
          </w:tcPr>
          <w:p>
            <w:pPr>
              <w:pStyle w:val="TableContents"/>
              <w:bidi w:val="0"/>
              <w:spacing w:before="0" w:after="283"/>
              <w:jc w:val="left"/>
              <w:rPr/>
            </w:pPr>
            <w:r>
              <w:rPr/>
              <w:t> </w:t>
            </w:r>
          </w:p>
        </w:tc>
        <w:tc>
          <w:tcPr>
            <w:tcW w:w="910"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w:t>
            </w:r>
          </w:p>
        </w:tc>
        <w:tc>
          <w:tcPr>
            <w:tcW w:w="45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13,302</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15,879</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15,879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Government grant receivables — current include the French Research Tax Credit (“CIR”) for an amount of €5,202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overdue receivables are immaterial.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 Cash and cash equivalents</w:t>
      </w:r>
    </w:p>
    <w:tbl>
      <w:tblPr>
        <w:tblW w:w="6340" w:type="dxa"/>
        <w:jc w:val="left"/>
        <w:tblInd w:w="0" w:type="dxa"/>
        <w:tblLayout w:type="fixed"/>
        <w:tblCellMar>
          <w:top w:w="0" w:type="dxa"/>
          <w:left w:w="0" w:type="dxa"/>
          <w:bottom w:w="0" w:type="dxa"/>
          <w:right w:w="0" w:type="dxa"/>
        </w:tblCellMar>
      </w:tblPr>
      <w:tblGrid>
        <w:gridCol w:w="2731"/>
        <w:gridCol w:w="146"/>
        <w:gridCol w:w="1636"/>
        <w:gridCol w:w="146"/>
        <w:gridCol w:w="1681"/>
      </w:tblGrid>
      <w:tr>
        <w:trPr/>
        <w:tc>
          <w:tcPr>
            <w:tcW w:w="27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securities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73,736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6,970</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consist of cash at bank and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31 December 2025, cash and cash equivalents include amounts received by the Group in connection with the Korean grant agreement and the IFA loan for €2,832 thousand and €4,737 thousand respectively. Although these funds are contractually restricted to eligible expenditures and subject to reporting requirements, such restrictions do not affect the classification of the bank balance as cash and cash equivalents.</w:t>
      </w:r>
    </w:p>
    <w:tbl>
      <w:tblPr>
        <w:tblW w:w="9103" w:type="dxa"/>
        <w:jc w:val="left"/>
        <w:tblInd w:w="0" w:type="dxa"/>
        <w:tblLayout w:type="fixed"/>
        <w:tblCellMar>
          <w:top w:w="0" w:type="dxa"/>
          <w:left w:w="0" w:type="dxa"/>
          <w:bottom w:w="0" w:type="dxa"/>
          <w:right w:w="0" w:type="dxa"/>
        </w:tblCellMar>
      </w:tblPr>
      <w:tblGrid>
        <w:gridCol w:w="2731"/>
        <w:gridCol w:w="146"/>
        <w:gridCol w:w="916"/>
        <w:gridCol w:w="146"/>
        <w:gridCol w:w="766"/>
        <w:gridCol w:w="146"/>
        <w:gridCol w:w="781"/>
        <w:gridCol w:w="146"/>
        <w:gridCol w:w="781"/>
        <w:gridCol w:w="146"/>
        <w:gridCol w:w="571"/>
        <w:gridCol w:w="146"/>
        <w:gridCol w:w="1681"/>
      </w:tblGrid>
      <w:tr>
        <w:trPr/>
        <w:tc>
          <w:tcPr>
            <w:tcW w:w="27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Euro</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CAD </w:t>
              <w:br/>
              <w:t>Dollar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 </w:t>
              <w:br/>
              <w:t>Dollar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KRW</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securities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63,649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3,380</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73,736</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63,675</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973</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5,531</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3,380</w:t>
            </w:r>
          </w:p>
        </w:tc>
        <w:tc>
          <w:tcPr>
            <w:tcW w:w="146" w:type="dxa"/>
            <w:tcBorders/>
            <w:shd w:fill="CCEEFF" w:val="clear"/>
            <w:vAlign w:val="bottom"/>
          </w:tcPr>
          <w:p>
            <w:pPr>
              <w:pStyle w:val="TableContents"/>
              <w:bidi w:val="0"/>
              <w:spacing w:before="0" w:after="283"/>
              <w:jc w:val="left"/>
              <w:rPr/>
            </w:pPr>
            <w:r>
              <w:rPr/>
              <w:t> </w:t>
            </w:r>
          </w:p>
        </w:tc>
        <w:tc>
          <w:tcPr>
            <w:tcW w:w="5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r>
    </w:tbl>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Consolidated Shareholders’ Equity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 Issued share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 Description of issued share capital</w:t>
      </w:r>
    </w:p>
    <w:tbl>
      <w:tblPr>
        <w:tblW w:w="6250" w:type="dxa"/>
        <w:jc w:val="left"/>
        <w:tblInd w:w="0" w:type="dxa"/>
        <w:tblLayout w:type="fixed"/>
        <w:tblCellMar>
          <w:top w:w="0" w:type="dxa"/>
          <w:left w:w="0" w:type="dxa"/>
          <w:bottom w:w="0" w:type="dxa"/>
          <w:right w:w="0" w:type="dxa"/>
        </w:tblCellMar>
      </w:tblPr>
      <w:tblGrid>
        <w:gridCol w:w="2641"/>
        <w:gridCol w:w="146"/>
        <w:gridCol w:w="1636"/>
        <w:gridCol w:w="146"/>
        <w:gridCol w:w="1681"/>
      </w:tblGrid>
      <w:tr>
        <w:trPr/>
        <w:tc>
          <w:tcPr>
            <w:tcW w:w="2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Number of shares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7,148,772</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6,923,000</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 value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Paid-in capital in euros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715</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692</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Company’s share capital amounted to €715 thousand, divided into 7,148,772 common shares with a par value of €0.10 each. Share premiums amounted to €70,158 thousand.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Group issued 225,741 Series C Shares through several capital increases resulting in a total increase of €31,500 thousand, of which €23 thousand in share capital and €31,477 thousand in share premium. Capital increase costs amounting to €681 thousand were recognized as a deduction from share premium. See Notes 2 for further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Series C Share issued under the Series C Financing carries attached share subscription warrants (collectively, the “BSA Ratchet warrants”) that may entitle the holder to subscribe, at nominal value, for additional Series C Shares upon the occurrence of certain contingent dilutive events (in particular, the issuance of new shares at a per-share price lower than €139.54, or the completion of an initial public offering — including in connection with the planned business combination — with a pre-money valuation of Pasqal SAS on a fully diluted basis lower than $2.0 billion). The BSA Ratchet warrants do not meet the definition of an equity instrument under IAS 32 and are accounted for as derivative financial liabilities measured at fair value through profit or loss in accordance with IFRS 9. Based on management’s assessment of facts and circumstances existing at the respective issuance dates and at December 31, 2025, including the expected progression of the contemplated business combination, the fair value of the BSA Ratchet warrants was determined to be immaterial. Accordingly, the proceeds received from the Series C Financing were allocated entirely to the Series C Shares issued. See Note 18 for further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2024, the share capital had been increased by €658 thousand following a 100-for-1 stock split and a corresponding division by 100 of the nominal value. On July 19, 2024, a total of 3,923,000 preferred shares had been converted into common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rights attached to the different classes of shares are as follows:</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Equal rights to normal dividend distributions with other ordinary shareholders; and</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Priority rights that breakdown by class of common shares as described below:</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Series A, B and 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Consolidated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Series A, Series B and Series C Shares benefit from the most senior economic rights in the distribution waterfall. Following an initial allocation of 10% of the proceeds distributed pro rata among all selling shareholders (regardless of share class), holders of Series A, Series B and Series C Shares are entitled, on a pari passu basis among themselves, to receive an amount equal to: (i) the subscription price paid for such shares, plus (ii) any declared but unpaid dividends, minus (iii) the nominal value of such shares (the “Liquidation Preference A/B/C). This preference ranks ahead of all other share classes. In the event of insufficient proceeds, the Liquidation Preference A/B/C is allocated pro rata among the relevant holders based on their respective entitlements.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Seed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Seed Shares are entitled to receive, after satisfaction of the Liquidation Preference A/B/C, an amount equal to: (i) the subscription price paid for such shares, plus (ii) any declared but unpaid dividends, minus (iii) the nominal value of such shares (the “Liquidation Preference Seed”). In the event of insufficient proceeds, the Liquidation Preference Seed is allocated pro rata among the Seed Shareholders based on their respective entitlements.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common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Common Shares participate in the initial 10% allocation on a pro rata basis alongside all other share classes. Thereafter, Common Shares rank junior to all preferred share classes. Holders of Common Shares are only entitled to receive any residual proceeds remaining after full satisfaction of the Liquidation Preference A/B/C and the Liquidation Preference Seed if the Liquidation Preference A/B/C and/or the Liquidation Preference Seed is/are applicable, it being specified that if the Liquidation Preference A/B/C and/or the Liquidation Preference Seed is/are applicable, holders of Shares are entitled to 10% of the proceeds on a pro-rata basis, and then Common Shares are entitled to receive any residual proceeds remaining after full satisfaction of the Liquidation Preference A/B/C and the Liquidation Preference Seed.</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 Capital management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the Group’s capital management, capital includes issued capital, share premium and all other equity reserves attributable to the equity holders of the parent. In order to maintain or adjust the capital structure, the Group can repurchase its own shares, issue new shares, or issue securities giving access to its capital.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objective of the Group’s capital management is to continue as a going concern and maximize the shareholder value. Capital management focuses on maintaining adequate levels of equity relative to operational needs, strategic investments, and regulatory requirements.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 Distribution of dividends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distributed any dividend.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 Accumulated deficit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Group’s accumulated deficit amounted to €32,533 thousand. This balance reflects accumulated losses of €124,309 thousand, including €91,776 thousand relating to the accumulated deficit of Pasqal SAS as of December 31, 2024 that was offset during the year against share premium pursuant to the shareholders’ written consultation dated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 consisted of allocating a portion of the Company’s share premium to absorb these losses, in order to preserve its eligibility for grants, subsidies and, more generally, public funding.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offset corresponded to the balance approved by the shareholders and reflected in the statutory financial statements of Pasqal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 accounting perspective, the transaction represented a transfer between components of the shareholders’ equity and therefore had no impact on total shareholders’ equity, profit or loss, other comprehensive income, cash flows, share capital, or the number of shares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Consolidated Shareholders’ Equity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 Other reserves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other reserves amounted to €49,584 thousand.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the Group recognized within equity the fixed Exchangeable and Milestone Shares component of the contingent consideration related to Aeponyx acquisition for an amount of €14,839 thousand, following the contractual determination of the exchange ratio upon completion of the Serie C financing. Refer to Notes 17 and 18 for further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share-based payments reserve is used to recognize the value of equity-settled share-based payments provided to employees, including key management personnel, as part of their remuneration. Refer to Note 9.4 for further disclosures of these plans.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23,300 treasury shares were cancelled during the 2024 financial year. See Note 2.2 for further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minority shareholders.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 Warrants and options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IFRS 2, BSPCEs (Founder Share Subscription Warrants) and options granted to corporate officers, employees and service providers are recognized as employee expenses at a value equal to the fair value of the instrument granted. BSPCE and options are equity-settled awards, resulting in the compensation expense being recognized against equity. The fair value of the expense, equal to the fair value of the financial instrument granted, is measured on the grant date. Share-based payment expense is adjusted at each reporting date to reflect the best available estimate of the number of equity instruments expected to be granted.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4.5.3 for further disclosures.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9.4.1. Founder Share Subscription Warrants (“BSPCE”)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 are French startup stock warrants that give employees the right to subscribe to shares at a predefined exercise price. Under the BSPCE plans, the Group may grant equity instruments to eligible employees. Several BSPCE plans were implemented between 2019 and 2025 as shown in the table below.</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Vesting of BSPCEs granted up to 2024 was solely based on employees’ continued service with the Group. In 2025, the Group introduced new BSPCE plans under which vesting continues to be subject to service conditions and, for certain grants, is also contingent upon the achievement of specific non-market performance conditions. The fair value of the share options is measured at the grant date using a Monte-Carlo simulation model, taking into account the terms and conditions under which the options are granted.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BSPCE plans allocated in previous financial years as of December 31, 2025:</w:t>
      </w:r>
    </w:p>
    <w:tbl>
      <w:tblPr>
        <w:tblW w:w="12659" w:type="dxa"/>
        <w:jc w:val="left"/>
        <w:tblInd w:w="0" w:type="dxa"/>
        <w:tblLayout w:type="fixed"/>
        <w:tblCellMar>
          <w:top w:w="0" w:type="dxa"/>
          <w:left w:w="0" w:type="dxa"/>
          <w:bottom w:w="0" w:type="dxa"/>
          <w:right w:w="0" w:type="dxa"/>
        </w:tblCellMar>
      </w:tblPr>
      <w:tblGrid>
        <w:gridCol w:w="1256"/>
        <w:gridCol w:w="146"/>
        <w:gridCol w:w="1096"/>
        <w:gridCol w:w="146"/>
        <w:gridCol w:w="1126"/>
        <w:gridCol w:w="146"/>
        <w:gridCol w:w="1291"/>
        <w:gridCol w:w="146"/>
        <w:gridCol w:w="1291"/>
        <w:gridCol w:w="146"/>
        <w:gridCol w:w="1051"/>
        <w:gridCol w:w="146"/>
        <w:gridCol w:w="1051"/>
        <w:gridCol w:w="146"/>
        <w:gridCol w:w="1306"/>
        <w:gridCol w:w="146"/>
        <w:gridCol w:w="295"/>
        <w:gridCol w:w="651"/>
        <w:gridCol w:w="146"/>
        <w:gridCol w:w="931"/>
      </w:tblGrid>
      <w:tr>
        <w:trPr/>
        <w:tc>
          <w:tcPr>
            <w:tcW w:w="1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date by the </w:t>
              <w:br/>
              <w:t>Chairman</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BSPCE </w:t>
              <w:br/>
              <w:t>outstanding</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price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04_2019</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24, 2020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332,800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07_2019</w:t>
            </w:r>
            <w:r>
              <w:rPr>
                <w:rFonts w:ascii="Times New Roman PS Std;serif" w:hAnsi="Times New Roman PS Std;serif"/>
                <w:b w:val="false"/>
                <w:i w:val="false"/>
                <w:caps w:val="false"/>
                <w:smallCaps w:val="false"/>
                <w:sz w:val="12"/>
              </w:rPr>
              <w:t>(1)(3)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15, 2019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04_2021</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September 27, 2021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79,000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12_2021</w:t>
            </w:r>
            <w:r>
              <w:rPr>
                <w:rFonts w:ascii="Times New Roman PS Std;serif" w:hAnsi="Times New Roman PS Std;serif"/>
                <w:b w:val="false"/>
                <w:i w:val="false"/>
                <w:caps w:val="false"/>
                <w:smallCaps w:val="false"/>
                <w:sz w:val="12"/>
              </w:rPr>
              <w:t>(1)(3)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01, 2022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38,869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32.22</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12_2023</w:t>
            </w:r>
            <w:r>
              <w:rPr>
                <w:rFonts w:ascii="Times New Roman PS Std;serif" w:hAnsi="Times New Roman PS Std;serif"/>
                <w:b w:val="false"/>
                <w:i w:val="false"/>
                <w:caps w:val="false"/>
                <w:smallCaps w:val="false"/>
                <w:sz w:val="12"/>
              </w:rPr>
              <w:t>(2)(3)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26, 2023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64,800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65,300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49,100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81,000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06_2024</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12, 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63,386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23,590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39,796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59,286</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10_2024</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4,050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04_2025</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15, 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92,400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92,300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10_2025 DG</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286,920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142,845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144,075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286,920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 months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10_2025</w:t>
            </w:r>
            <w:r>
              <w:rPr>
                <w:rFonts w:ascii="Times New Roman PS Std;serif" w:hAnsi="Times New Roman PS Std;serif"/>
                <w:b w:val="false"/>
                <w:i w:val="false"/>
                <w:caps w:val="false"/>
                <w:smallCaps w:val="false"/>
                <w:sz w:val="12"/>
              </w:rPr>
              <w:t>(6)</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138,460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71,961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66,499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138,460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 months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11_2025</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November 05, 2025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68,325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1,320,266</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818,121</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502,145</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107,169</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23,331</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1,189,766</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Consolidated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BSPCE plans allocated in previous financial years as of December 31, 2024:</w:t>
      </w:r>
    </w:p>
    <w:tbl>
      <w:tblPr>
        <w:tblW w:w="12479" w:type="dxa"/>
        <w:jc w:val="left"/>
        <w:tblInd w:w="0" w:type="dxa"/>
        <w:tblLayout w:type="fixed"/>
        <w:tblCellMar>
          <w:top w:w="0" w:type="dxa"/>
          <w:left w:w="0" w:type="dxa"/>
          <w:bottom w:w="0" w:type="dxa"/>
          <w:right w:w="0" w:type="dxa"/>
        </w:tblCellMar>
      </w:tblPr>
      <w:tblGrid>
        <w:gridCol w:w="1256"/>
        <w:gridCol w:w="146"/>
        <w:gridCol w:w="1096"/>
        <w:gridCol w:w="146"/>
        <w:gridCol w:w="946"/>
        <w:gridCol w:w="146"/>
        <w:gridCol w:w="1291"/>
        <w:gridCol w:w="146"/>
        <w:gridCol w:w="1291"/>
        <w:gridCol w:w="146"/>
        <w:gridCol w:w="1051"/>
        <w:gridCol w:w="146"/>
        <w:gridCol w:w="1051"/>
        <w:gridCol w:w="146"/>
        <w:gridCol w:w="1306"/>
        <w:gridCol w:w="146"/>
        <w:gridCol w:w="295"/>
        <w:gridCol w:w="651"/>
        <w:gridCol w:w="146"/>
        <w:gridCol w:w="931"/>
      </w:tblGrid>
      <w:tr>
        <w:trPr/>
        <w:tc>
          <w:tcPr>
            <w:tcW w:w="1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date by the </w:t>
              <w:br/>
              <w:t>Chairman</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BSPCE </w:t>
              <w:br/>
              <w:t>outstanding</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price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04_2019</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24, 2020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332,800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07_2019</w:t>
            </w:r>
            <w:r>
              <w:rPr>
                <w:rFonts w:ascii="Times New Roman PS Std;serif" w:hAnsi="Times New Roman PS Std;serif"/>
                <w:b w:val="false"/>
                <w:i w:val="false"/>
                <w:caps w:val="false"/>
                <w:smallCaps w:val="false"/>
                <w:sz w:val="12"/>
              </w:rPr>
              <w:t>(1)(3)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15, 2019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04_2021</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September 27, 2021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79,000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12_2021</w:t>
            </w:r>
            <w:r>
              <w:rPr>
                <w:rFonts w:ascii="Times New Roman PS Std;serif" w:hAnsi="Times New Roman PS Std;serif"/>
                <w:b w:val="false"/>
                <w:i w:val="false"/>
                <w:caps w:val="false"/>
                <w:smallCaps w:val="false"/>
                <w:sz w:val="12"/>
              </w:rPr>
              <w:t>(1)(3)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01, 2022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37,700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38,900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32.22</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12_2023</w:t>
            </w:r>
            <w:r>
              <w:rPr>
                <w:rFonts w:ascii="Times New Roman PS Std;serif" w:hAnsi="Times New Roman PS Std;serif"/>
                <w:b w:val="false"/>
                <w:i w:val="false"/>
                <w:caps w:val="false"/>
                <w:smallCaps w:val="false"/>
                <w:sz w:val="12"/>
              </w:rPr>
              <w:t>(2)(3)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26, 2023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31,300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98,800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111,100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06_2024</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12, 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63,386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7,745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55,641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63,386</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10_2024</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733,786</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512,520</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221,266</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64,800</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23,300</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645,686</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BSPCE 04_2019, BSPCE 07_2019, BSPCE 04_2021, BSPCE 12_2021 were authorized by decision of the Shareholders’ Meeting held on April 26, 2019.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BSPCE 12_2023 were authorized by unanimous decision of the shareholders on December 22, 2022.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(3)      The number of BSPCEs has been multiplied by 100 following the 100-for-1 stock split decided by unanimous decision of the shareholders on June 12,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(4)      BSPCE 06_2024, BSPCE 10_2024 and BSPCE 04_2025 were authorized by unanimous decision of the shareholders on June 12, 2024, authorizing the Chairman to implement a plan to issue and allocate 250,000 Founder Share Subscription Warrants (BSPCEs) giving the right to acquire 250,000 common shares of the Company with the cancellation of the preferential subscription right in favor of the Company’s employees.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(5)      BSPCE 10_2025 DG were authorized by unanimous decision of the shareholders on October 29,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(6)      BSPCE 10_2025 were authorized by unanimous decision of the shareholders on October 13,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(7)      BSPCE 11_2025 were authorized by unanimous decision of the shareholders on October 29,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the BSPCE plans as equity-settled plans.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Pasqal’s acquisition of Aeponyx Inc., options were granted to the former owners of Aeponyx as remuneration for future services rendered. Upon exercise of their options, each beneficiary may ultimately acquire Pasqal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number of options granted to key employees amounts to 10,385 options subject to service and non-market performance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options are classified as equity-settled plans. The table below shows the outstanding options as of December 31, 2025:</w:t>
      </w:r>
    </w:p>
    <w:tbl>
      <w:tblPr>
        <w:tblW w:w="10205" w:type="dxa"/>
        <w:jc w:val="left"/>
        <w:tblInd w:w="0" w:type="dxa"/>
        <w:tblLayout w:type="fixed"/>
        <w:tblCellMar>
          <w:top w:w="0" w:type="dxa"/>
          <w:left w:w="0" w:type="dxa"/>
          <w:bottom w:w="0" w:type="dxa"/>
          <w:right w:w="0" w:type="dxa"/>
        </w:tblCellMar>
      </w:tblPr>
      <w:tblGrid>
        <w:gridCol w:w="942"/>
        <w:gridCol w:w="146"/>
        <w:gridCol w:w="1255"/>
        <w:gridCol w:w="146"/>
        <w:gridCol w:w="1084"/>
        <w:gridCol w:w="146"/>
        <w:gridCol w:w="1169"/>
        <w:gridCol w:w="146"/>
        <w:gridCol w:w="1179"/>
        <w:gridCol w:w="146"/>
        <w:gridCol w:w="1426"/>
        <w:gridCol w:w="146"/>
        <w:gridCol w:w="286"/>
        <w:gridCol w:w="826"/>
        <w:gridCol w:w="146"/>
        <w:gridCol w:w="1016"/>
      </w:tblGrid>
      <w:tr>
        <w:trPr/>
        <w:tc>
          <w:tcPr>
            <w:tcW w:w="9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w:t>
            </w:r>
          </w:p>
        </w:tc>
        <w:tc>
          <w:tcPr>
            <w:tcW w:w="146" w:type="dxa"/>
            <w:tcBorders/>
            <w:vAlign w:val="bottom"/>
          </w:tcPr>
          <w:p>
            <w:pPr>
              <w:pStyle w:val="TableContents"/>
              <w:bidi w:val="0"/>
              <w:spacing w:before="0" w:after="283"/>
              <w:jc w:val="left"/>
              <w:rPr/>
            </w:pPr>
            <w:r>
              <w:rPr/>
              <w:t> </w:t>
            </w:r>
          </w:p>
        </w:tc>
        <w:tc>
          <w:tcPr>
            <w:tcW w:w="12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Grant </w:t>
              <w:br/>
              <w:t xml:space="preserve">date by the </w:t>
              <w:br/>
              <w:t>Chairman</w:t>
            </w:r>
          </w:p>
        </w:tc>
        <w:tc>
          <w:tcPr>
            <w:tcW w:w="146" w:type="dxa"/>
            <w:tcBorders/>
            <w:vAlign w:val="bottom"/>
          </w:tcPr>
          <w:p>
            <w:pPr>
              <w:pStyle w:val="TableContents"/>
              <w:bidi w:val="0"/>
              <w:spacing w:before="0" w:after="283"/>
              <w:jc w:val="left"/>
              <w:rPr/>
            </w:pPr>
            <w:r>
              <w:rPr/>
              <w:t> </w:t>
            </w:r>
          </w:p>
        </w:tc>
        <w:tc>
          <w:tcPr>
            <w:tcW w:w="108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options </w:t>
              <w:br/>
              <w:t>granted</w:t>
            </w:r>
          </w:p>
        </w:tc>
        <w:tc>
          <w:tcPr>
            <w:tcW w:w="146" w:type="dxa"/>
            <w:tcBorders/>
            <w:vAlign w:val="bottom"/>
          </w:tcPr>
          <w:p>
            <w:pPr>
              <w:pStyle w:val="TableContents"/>
              <w:bidi w:val="0"/>
              <w:spacing w:before="0" w:after="283"/>
              <w:jc w:val="left"/>
              <w:rPr/>
            </w:pPr>
            <w:r>
              <w:rPr/>
              <w:t> </w:t>
            </w:r>
          </w:p>
        </w:tc>
        <w:tc>
          <w:tcPr>
            <w:tcW w:w="11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options </w:t>
              <w:br/>
              <w:t>cancelled</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options </w:t>
              <w:br/>
              <w:t>exercised</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options </w:t>
              <w:br/>
              <w:t>outstanding</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Exercise </w:t>
              <w:br/>
              <w:t>price</w:t>
            </w:r>
          </w:p>
        </w:tc>
        <w:tc>
          <w:tcPr>
            <w:tcW w:w="146" w:type="dxa"/>
            <w:tcBorders/>
            <w:vAlign w:val="bottom"/>
          </w:tcPr>
          <w:p>
            <w:pPr>
              <w:pStyle w:val="TableContents"/>
              <w:bidi w:val="0"/>
              <w:spacing w:before="0" w:after="283"/>
              <w:jc w:val="left"/>
              <w:rPr/>
            </w:pPr>
            <w:r>
              <w:rPr/>
              <w:t> </w:t>
            </w:r>
          </w:p>
        </w:tc>
        <w:tc>
          <w:tcPr>
            <w:tcW w:w="10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Vesting </w:t>
              <w:br/>
              <w:t>Period</w:t>
            </w:r>
          </w:p>
        </w:tc>
      </w:tr>
      <w:tr>
        <w:trPr/>
        <w:tc>
          <w:tcPr>
            <w:tcW w:w="9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2024</w:t>
            </w:r>
          </w:p>
        </w:tc>
        <w:tc>
          <w:tcPr>
            <w:tcW w:w="146"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2024</w:t>
            </w:r>
          </w:p>
        </w:tc>
        <w:tc>
          <w:tcPr>
            <w:tcW w:w="14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10,385</w:t>
            </w:r>
          </w:p>
        </w:tc>
        <w:tc>
          <w:tcPr>
            <w:tcW w:w="146"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0.0001</w:t>
            </w:r>
          </w:p>
        </w:tc>
        <w:tc>
          <w:tcPr>
            <w:tcW w:w="14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years</w:t>
            </w:r>
          </w:p>
        </w:tc>
      </w:tr>
    </w:tbl>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Financial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financial liabilities are recognized initially at fair value and, in the case of borrowings, net of directly attributable transaction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initial recognition, borrowings are subsequently measured at amortized cost using the EIR method.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issued a convertible bond (OCA) in 2024 and bonds redeemable in shares (ORA) in 2025. The OCA is a hybrid financial instrument that presents the characteristics of a compound instrument as defined in IAS 32, i.e., a non-derivative financial instrument that contains both a debt component (related to the contractual cash redemption at maturity and the interest payable) and another component corresponding to the option to convert the instrument into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variable number of Pasqal shares and therefore does not give rise to an equity component. As a result, the Group classified the OCA entirely as a financial liability. The ORA are hybrid financial instruments that do not meet the fixed-for-fixed criterion under IAS 32 and therefore do not give rise to an equity component. The payment of interest on the ORA is not discretionary at the issuer’s option. As a result, the Group classified the ORA entirely as financial liabilities. Pasqal elected, at initial recognition, to designate these instruments in their entirety at fair value through profit or loss, with subsequent changes in fair value recognized in profit or loss. The instruments are presented under “Borrowings”.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maturing in more than 1 year are recognized as non-current liabilities, while those maturing in less than 1 year are current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policy for liabilities related to leases and to the fair value of cash-settled transactions is disclosed respectively in Notes 11 and 14.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 Changes during the period in current and non-current borrowings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4053"/>
        <w:gridCol w:w="146"/>
        <w:gridCol w:w="1001"/>
        <w:gridCol w:w="560"/>
        <w:gridCol w:w="146"/>
        <w:gridCol w:w="1175"/>
        <w:gridCol w:w="363"/>
        <w:gridCol w:w="146"/>
        <w:gridCol w:w="895"/>
        <w:gridCol w:w="506"/>
        <w:gridCol w:w="146"/>
        <w:gridCol w:w="781"/>
        <w:gridCol w:w="287"/>
      </w:tblGrid>
      <w:tr>
        <w:trPr/>
        <w:tc>
          <w:tcPr>
            <w:tcW w:w="40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Long-term </w:t>
              <w:br/>
              <w:t xml:space="preserve">borrowing </w:t>
              <w:br/>
              <w:t xml:space="preserve">from credit </w:t>
              <w:br/>
              <w:t>institutions – </w:t>
              <w:br/>
              <w:t>non-current</w:t>
            </w:r>
          </w:p>
        </w:tc>
        <w:tc>
          <w:tcPr>
            <w:tcW w:w="146" w:type="dxa"/>
            <w:tcBorders/>
            <w:vAlign w:val="bottom"/>
          </w:tcPr>
          <w:p>
            <w:pPr>
              <w:pStyle w:val="TableContents"/>
              <w:bidi w:val="0"/>
              <w:spacing w:before="0" w:after="283"/>
              <w:jc w:val="left"/>
              <w:rPr/>
            </w:pPr>
            <w:r>
              <w:rPr/>
              <w:t> </w:t>
            </w:r>
          </w:p>
        </w:tc>
        <w:tc>
          <w:tcPr>
            <w:tcW w:w="15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Issue of </w:t>
              <w:br/>
              <w:t xml:space="preserve">investments </w:t>
              <w:br/>
              <w:t xml:space="preserve">and advances </w:t>
              <w:br/>
              <w:t>of the state – </w:t>
              <w:br/>
              <w:t>non-current</w:t>
            </w:r>
          </w:p>
        </w:tc>
        <w:tc>
          <w:tcPr>
            <w:tcW w:w="146" w:type="dxa"/>
            <w:tcBorders/>
            <w:vAlign w:val="bottom"/>
          </w:tcPr>
          <w:p>
            <w:pPr>
              <w:pStyle w:val="TableContents"/>
              <w:bidi w:val="0"/>
              <w:spacing w:before="0" w:after="283"/>
              <w:jc w:val="left"/>
              <w:rPr/>
            </w:pPr>
            <w:r>
              <w:rPr/>
              <w:t> </w:t>
            </w:r>
          </w:p>
        </w:tc>
        <w:tc>
          <w:tcPr>
            <w:tcW w:w="14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loans and </w:t>
              <w:br/>
              <w:t xml:space="preserve">financial </w:t>
              <w:br/>
              <w:t>debts – </w:t>
              <w:br/>
              <w:t>non-current</w:t>
            </w:r>
          </w:p>
        </w:tc>
        <w:tc>
          <w:tcPr>
            <w:tcW w:w="146" w:type="dxa"/>
            <w:tcBorders/>
            <w:vAlign w:val="bottom"/>
          </w:tcPr>
          <w:p>
            <w:pPr>
              <w:pStyle w:val="TableContents"/>
              <w:bidi w:val="0"/>
              <w:spacing w:before="0" w:after="283"/>
              <w:jc w:val="left"/>
              <w:rPr/>
            </w:pPr>
            <w:r>
              <w:rPr/>
              <w:t> </w:t>
            </w:r>
          </w:p>
        </w:tc>
        <w:tc>
          <w:tcPr>
            <w:tcW w:w="10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 at January 1, 2024</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2,677</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693</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3,370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2,812</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2,812</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2,405</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2,405</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w:t>
            </w:r>
          </w:p>
        </w:tc>
        <w:tc>
          <w:tcPr>
            <w:tcW w:w="5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36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w:t>
            </w:r>
          </w:p>
        </w:tc>
        <w:tc>
          <w:tcPr>
            <w:tcW w:w="5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 at December 31, 2024</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5,061</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686</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2,106</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7,853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5,819</w:t>
            </w:r>
          </w:p>
        </w:tc>
        <w:tc>
          <w:tcPr>
            <w:tcW w:w="50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6,369</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5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5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(2,673</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6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(3,476</w:t>
            </w:r>
          </w:p>
        </w:tc>
        <w:tc>
          <w:tcPr>
            <w:tcW w:w="5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(6,155</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 at December 31, 2025</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1,900</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1,231</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4,510</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Corresponds to the subscription of IFA loan for a principal amount of €5,143 thousand (USD 6,000 thousand) and an additional drawdown of €676 thousand (CAD 1,068 thousand) on Investissement Québec loan.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Corresponds to the reclassification of the grant component of the IFA and Investissement Québec loans. See Note 10.2 for further disclosure.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(3)      Corresponds to the current portion reclassification, mainly on Aeponyx’s promissory note (BDC loan) for €2,090 thousand (non-current</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portion of €2,578 thousand in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borrowings mainly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Bpifrance S.A. loans for an outstanding amount of €1,810 thousand (€2,323 thousand in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Canadian Investissement Québec loan including capitalized interests for €2,580 thousand (€2,160 thousand in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IFA loan for an outstanding amount €1,930 thousand (none in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 (fixed rate of 3.57%), BPI Innovation R&amp;D (fixed rate of 0.71%), the Canadian loan (fixed rate of 4.09%) and the IFA loan (fixed rate of 3.55%) bear interest rates below the prevailing market rate for comparable instruments. In accordance with IFRS 9, these borrowings were initially recognized at fair value based on market borrowing rates. The difference between the cash proceeds received and the initial fair value of each loan constitutes a government grant under IAS 20 and is presented as deferred income from government grants, recognized in profit or loss on a systematic basis over the respective borrowing terms. See Note 15 for further disclosure.</w:t>
      </w:r>
    </w:p>
    <w:tbl>
      <w:tblPr>
        <w:tblW w:w="12292" w:type="dxa"/>
        <w:jc w:val="left"/>
        <w:tblInd w:w="0" w:type="dxa"/>
        <w:tblLayout w:type="fixed"/>
        <w:tblCellMar>
          <w:top w:w="0" w:type="dxa"/>
          <w:left w:w="0" w:type="dxa"/>
          <w:bottom w:w="0" w:type="dxa"/>
          <w:right w:w="0" w:type="dxa"/>
        </w:tblCellMar>
      </w:tblPr>
      <w:tblGrid>
        <w:gridCol w:w="2201"/>
        <w:gridCol w:w="146"/>
        <w:gridCol w:w="1051"/>
        <w:gridCol w:w="241"/>
        <w:gridCol w:w="146"/>
        <w:gridCol w:w="1192"/>
        <w:gridCol w:w="369"/>
        <w:gridCol w:w="146"/>
        <w:gridCol w:w="771"/>
        <w:gridCol w:w="310"/>
        <w:gridCol w:w="146"/>
        <w:gridCol w:w="728"/>
        <w:gridCol w:w="308"/>
        <w:gridCol w:w="146"/>
        <w:gridCol w:w="850"/>
        <w:gridCol w:w="471"/>
        <w:gridCol w:w="146"/>
        <w:gridCol w:w="960"/>
        <w:gridCol w:w="481"/>
        <w:gridCol w:w="146"/>
        <w:gridCol w:w="1051"/>
        <w:gridCol w:w="286"/>
      </w:tblGrid>
      <w:tr>
        <w:trPr/>
        <w:tc>
          <w:tcPr>
            <w:tcW w:w="22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Bond </w:t>
              <w:br/>
              <w:t>issues –</w:t>
              <w:br/>
              <w:t>current</w:t>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Long-term </w:t>
              <w:br/>
              <w:t xml:space="preserve">borrowing </w:t>
              <w:br/>
              <w:t xml:space="preserve">from credit </w:t>
              <w:br/>
              <w:t>institutions – </w:t>
              <w:br/>
              <w:t>current</w:t>
            </w:r>
          </w:p>
        </w:tc>
        <w:tc>
          <w:tcPr>
            <w:tcW w:w="146"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Accrued </w:t>
              <w:br/>
              <w:t xml:space="preserve">interests </w:t>
              <w:br/>
              <w:t>on loans</w:t>
            </w:r>
          </w:p>
        </w:tc>
        <w:tc>
          <w:tcPr>
            <w:tcW w:w="146"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loans and </w:t>
              <w:br/>
              <w:t xml:space="preserve">financial </w:t>
              <w:br/>
              <w:t>debts – </w:t>
              <w:br/>
              <w:t>current</w:t>
            </w:r>
          </w:p>
        </w:tc>
        <w:tc>
          <w:tcPr>
            <w:tcW w:w="146" w:type="dxa"/>
            <w:tcBorders/>
            <w:vAlign w:val="bottom"/>
          </w:tcPr>
          <w:p>
            <w:pPr>
              <w:pStyle w:val="TableContents"/>
              <w:bidi w:val="0"/>
              <w:spacing w:before="0" w:after="283"/>
              <w:jc w:val="left"/>
              <w:rPr/>
            </w:pPr>
            <w:r>
              <w:rPr/>
              <w:t> </w:t>
            </w:r>
          </w:p>
        </w:tc>
        <w:tc>
          <w:tcPr>
            <w:tcW w:w="13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Current </w:t>
              <w:br/>
              <w:t xml:space="preserve">bank </w:t>
              <w:br/>
              <w:t xml:space="preserve">borrowings </w:t>
              <w:br/>
              <w:t xml:space="preserve">and </w:t>
              <w:br/>
              <w:t>overdrafts</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Issue of </w:t>
              <w:br/>
              <w:t xml:space="preserve">investments </w:t>
              <w:br/>
              <w:t xml:space="preserve">and advances </w:t>
              <w:br/>
              <w:t>of the state – </w:t>
              <w:br/>
              <w:t>current</w:t>
            </w:r>
          </w:p>
        </w:tc>
        <w:tc>
          <w:tcPr>
            <w:tcW w:w="146" w:type="dxa"/>
            <w:tcBorders/>
            <w:vAlign w:val="bottom"/>
          </w:tcPr>
          <w:p>
            <w:pPr>
              <w:pStyle w:val="TableContents"/>
              <w:bidi w:val="0"/>
              <w:spacing w:before="0" w:after="283"/>
              <w:jc w:val="left"/>
              <w:rPr/>
            </w:pPr>
            <w:r>
              <w:rPr/>
              <w:t> </w:t>
            </w:r>
          </w:p>
        </w:tc>
        <w:tc>
          <w:tcPr>
            <w:tcW w:w="13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 at January 1, 2024</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312</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w:t>
            </w:r>
          </w:p>
        </w:tc>
        <w:tc>
          <w:tcPr>
            <w:tcW w:w="3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 at December 31, 2024</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w:t>
            </w:r>
          </w:p>
        </w:tc>
        <w:tc>
          <w:tcPr>
            <w:tcW w:w="3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2,673</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37,153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 at December 31, 2025</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102,278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2,711</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105,164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borrowings as of December 31, 2025 and 2024 mainly include the bonds redeemable in shares and the CMA CGM convertible bond, respectively.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 issued in July 2024 a convertible bond to the CMA CGM Group in the amount of €5,000 thousand. The interest rate was 5% and the maturity date was December 31, 2025. The fair value of the convertible bond was determined using an actuarial methodology, relying on the discounting of future cash flows. Principal assumptions used in determining the fair value were as follows: risk-free rate based on the 6-month Euribor, a recovery rate of 10% in the event of default, a credit spread of 2,050 basis points and an underlying share price derived from the most recent observable transaction, being the latest financing round as of the valuation date.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the convertible bond was then recorded for €4,816 thousand on the balance sheet with the corresponding change in fair value recognized in change in fair value of financial liabilities at FVPL for €184 thousand. On October 15, 2025, following CMA CGM’s request for early redemption, the OCA was derecognized and settled through the issuance of ORA for an amount of €5,312 thousand, corresponding to the nominal amount plus accrued interest. Prior to derecognition, the instrument was remeasured at fair value in accordance with IFRS 9. The resulting impact was recognized in profit or loss for €306 thousand.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Between April and December 2025, the Group issued ORA for a total amount of €68,295 thousand. The ORA carry an annual coupon of 12%, mature on June 30, 2026 and are redeemable in shares, with the number of shares to be issued varying according to the contractually defined conversion terms and the applicable share price at redemption.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instruments are designated in full at fair value through profit or loss. Their fair value was determined using a valuation model based on discounted expected cash flows, taking into account the different conversion and redemption scenarios over the contractual term. Key valuation assumptions included a 10% recovery rate, a volatility of 40%, a credit spread of 1,917 basis points and an underlying share price derived from the most recent observable transaction, being the latest financing round as of the valuation date. As of December 31, 2025, the ORA were remeasured at €102,278 thousand on the balance sheet, reflecting the overall remeasurement of the instrument based on updated valuation inputs, including the underlying share price at the time of the Series C, as well as the other key assumptions described above. The corresponding change in fair value was recognized in profit or loss under “Change in fair value of financial liabilities at FVPL” for €34,478 thousand.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ORA are classified within Level 3 of the fair value hierarchy. The valuation is based on a multi-scenario approach reflecting the various possible contractual redemption events (Qualified Equity Financing, IPO, maturity, Non-Qualified Equity Financing and Exit), each weighted by its probability of occurrence as estimated by management. Actual outcomes may differ from estimate.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 Breakdown of borrowings and other loans by maturity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2025</w:t>
      </w:r>
    </w:p>
    <w:tbl>
      <w:tblPr>
        <w:tblW w:w="10205" w:type="dxa"/>
        <w:jc w:val="left"/>
        <w:tblInd w:w="0" w:type="dxa"/>
        <w:tblLayout w:type="fixed"/>
        <w:tblCellMar>
          <w:top w:w="0" w:type="dxa"/>
          <w:left w:w="0" w:type="dxa"/>
          <w:bottom w:w="0" w:type="dxa"/>
          <w:right w:w="0" w:type="dxa"/>
        </w:tblCellMar>
      </w:tblPr>
      <w:tblGrid>
        <w:gridCol w:w="4524"/>
        <w:gridCol w:w="146"/>
        <w:gridCol w:w="1611"/>
        <w:gridCol w:w="146"/>
        <w:gridCol w:w="1051"/>
        <w:gridCol w:w="146"/>
        <w:gridCol w:w="1458"/>
        <w:gridCol w:w="146"/>
        <w:gridCol w:w="977"/>
      </w:tblGrid>
      <w:tr>
        <w:trPr/>
        <w:tc>
          <w:tcPr>
            <w:tcW w:w="45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non-current</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non-current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1,335</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3,175</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16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7,640</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5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4,465</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3,175</w:t>
            </w:r>
          </w:p>
        </w:tc>
      </w:tr>
      <w:tr>
        <w:trPr/>
        <w:tc>
          <w:tcPr>
            <w:tcW w:w="45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left"/>
              <w:rPr/>
            </w:pPr>
            <w:r>
              <w:rPr/>
              <w:t> </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Bond issues – current</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102,278</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102,278</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2,711</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16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105,164</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105,164</w:t>
            </w:r>
          </w:p>
        </w:tc>
        <w:tc>
          <w:tcPr>
            <w:tcW w:w="146" w:type="dxa"/>
            <w:tcBorders/>
            <w:vAlign w:val="bottom"/>
          </w:tcPr>
          <w:p>
            <w:pPr>
              <w:pStyle w:val="TableContents"/>
              <w:bidi w:val="0"/>
              <w:spacing w:before="0" w:after="283"/>
              <w:jc w:val="left"/>
              <w:rPr/>
            </w:pPr>
            <w:r>
              <w:rPr/>
              <w:t> </w:t>
            </w:r>
          </w:p>
        </w:tc>
        <w:tc>
          <w:tcPr>
            <w:tcW w:w="145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2024</w:t>
      </w:r>
    </w:p>
    <w:tbl>
      <w:tblPr>
        <w:tblW w:w="10205" w:type="dxa"/>
        <w:jc w:val="left"/>
        <w:tblInd w:w="0" w:type="dxa"/>
        <w:tblLayout w:type="fixed"/>
        <w:tblCellMar>
          <w:top w:w="0" w:type="dxa"/>
          <w:left w:w="0" w:type="dxa"/>
          <w:bottom w:w="0" w:type="dxa"/>
          <w:right w:w="0" w:type="dxa"/>
        </w:tblCellMar>
      </w:tblPr>
      <w:tblGrid>
        <w:gridCol w:w="4674"/>
        <w:gridCol w:w="146"/>
        <w:gridCol w:w="1614"/>
        <w:gridCol w:w="146"/>
        <w:gridCol w:w="864"/>
        <w:gridCol w:w="146"/>
        <w:gridCol w:w="1491"/>
        <w:gridCol w:w="146"/>
        <w:gridCol w:w="978"/>
      </w:tblGrid>
      <w:tr>
        <w:trPr/>
        <w:tc>
          <w:tcPr>
            <w:tcW w:w="46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8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4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6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16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5,061</w:t>
            </w:r>
          </w:p>
        </w:tc>
        <w:tc>
          <w:tcPr>
            <w:tcW w:w="14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5,061</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non-current</w:t>
            </w:r>
          </w:p>
        </w:tc>
        <w:tc>
          <w:tcPr>
            <w:tcW w:w="146" w:type="dxa"/>
            <w:tcBorders/>
            <w:vAlign w:val="bottom"/>
          </w:tcPr>
          <w:p>
            <w:pPr>
              <w:pStyle w:val="TableContents"/>
              <w:bidi w:val="0"/>
              <w:spacing w:before="0" w:after="283"/>
              <w:jc w:val="left"/>
              <w:rPr/>
            </w:pPr>
            <w:r>
              <w:rPr/>
              <w:t> </w:t>
            </w:r>
          </w:p>
        </w:tc>
        <w:tc>
          <w:tcPr>
            <w:tcW w:w="16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w:t>
            </w:r>
          </w:p>
        </w:tc>
        <w:tc>
          <w:tcPr>
            <w:tcW w:w="146" w:type="dxa"/>
            <w:tcBorders/>
            <w:vAlign w:val="bottom"/>
          </w:tcPr>
          <w:p>
            <w:pPr>
              <w:pStyle w:val="TableContents"/>
              <w:bidi w:val="0"/>
              <w:spacing w:before="0" w:after="283"/>
              <w:jc w:val="left"/>
              <w:rPr/>
            </w:pPr>
            <w:r>
              <w:rPr/>
              <w:t> </w:t>
            </w:r>
          </w:p>
        </w:tc>
        <w:tc>
          <w:tcPr>
            <w:tcW w:w="8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non-current</w:t>
            </w:r>
          </w:p>
        </w:tc>
        <w:tc>
          <w:tcPr>
            <w:tcW w:w="146" w:type="dxa"/>
            <w:tcBorders/>
            <w:shd w:fill="CCEEFF" w:val="clear"/>
            <w:vAlign w:val="bottom"/>
          </w:tcPr>
          <w:p>
            <w:pPr>
              <w:pStyle w:val="TableContents"/>
              <w:bidi w:val="0"/>
              <w:spacing w:before="0" w:after="283"/>
              <w:jc w:val="left"/>
              <w:rPr/>
            </w:pPr>
            <w:r>
              <w:rPr/>
              <w:t> </w:t>
            </w:r>
          </w:p>
        </w:tc>
        <w:tc>
          <w:tcPr>
            <w:tcW w:w="16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2,106</w:t>
            </w:r>
          </w:p>
        </w:tc>
        <w:tc>
          <w:tcPr>
            <w:tcW w:w="14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1,602</w:t>
            </w:r>
          </w:p>
        </w:tc>
      </w:tr>
      <w:tr>
        <w:trPr/>
        <w:tc>
          <w:tcPr>
            <w:tcW w:w="46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16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7,853</w:t>
            </w:r>
          </w:p>
        </w:tc>
        <w:tc>
          <w:tcPr>
            <w:tcW w:w="146" w:type="dxa"/>
            <w:tcBorders/>
            <w:vAlign w:val="bottom"/>
          </w:tcPr>
          <w:p>
            <w:pPr>
              <w:pStyle w:val="TableContents"/>
              <w:bidi w:val="0"/>
              <w:spacing w:before="0" w:after="283"/>
              <w:jc w:val="left"/>
              <w:rPr/>
            </w:pPr>
            <w:r>
              <w:rPr/>
              <w:t> </w:t>
            </w:r>
          </w:p>
        </w:tc>
        <w:tc>
          <w:tcPr>
            <w:tcW w:w="86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6,251</w:t>
            </w:r>
          </w:p>
        </w:tc>
        <w:tc>
          <w:tcPr>
            <w:tcW w:w="146" w:type="dxa"/>
            <w:tcBorders/>
            <w:vAlign w:val="bottom"/>
          </w:tcPr>
          <w:p>
            <w:pPr>
              <w:pStyle w:val="TableContents"/>
              <w:bidi w:val="0"/>
              <w:spacing w:before="0" w:after="283"/>
              <w:jc w:val="left"/>
              <w:rPr/>
            </w:pPr>
            <w:r>
              <w:rPr/>
              <w:t> </w:t>
            </w:r>
          </w:p>
        </w:tc>
        <w:tc>
          <w:tcPr>
            <w:tcW w:w="9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4571"/>
        <w:gridCol w:w="146"/>
        <w:gridCol w:w="1616"/>
        <w:gridCol w:w="146"/>
        <w:gridCol w:w="934"/>
        <w:gridCol w:w="146"/>
        <w:gridCol w:w="1522"/>
        <w:gridCol w:w="146"/>
        <w:gridCol w:w="978"/>
      </w:tblGrid>
      <w:tr>
        <w:trPr/>
        <w:tc>
          <w:tcPr>
            <w:tcW w:w="45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9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52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Bond issues – current</w:t>
            </w:r>
          </w:p>
        </w:tc>
        <w:tc>
          <w:tcPr>
            <w:tcW w:w="146" w:type="dxa"/>
            <w:tcBorders/>
            <w:shd w:fill="CCEEFF" w:val="clear"/>
            <w:vAlign w:val="bottom"/>
          </w:tcPr>
          <w:p>
            <w:pPr>
              <w:pStyle w:val="TableContents"/>
              <w:bidi w:val="0"/>
              <w:spacing w:before="0" w:after="283"/>
              <w:jc w:val="left"/>
              <w:rPr/>
            </w:pPr>
            <w:r>
              <w:rPr/>
              <w:t> </w:t>
            </w:r>
          </w:p>
        </w:tc>
        <w:tc>
          <w:tcPr>
            <w:tcW w:w="1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4,816</w:t>
            </w:r>
          </w:p>
        </w:tc>
        <w:tc>
          <w:tcPr>
            <w:tcW w:w="146"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4,816</w:t>
            </w:r>
          </w:p>
        </w:tc>
        <w:tc>
          <w:tcPr>
            <w:tcW w:w="146"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vAlign w:val="bottom"/>
          </w:tcPr>
          <w:p>
            <w:pPr>
              <w:pStyle w:val="TableContents"/>
              <w:bidi w:val="0"/>
              <w:spacing w:before="0" w:after="283"/>
              <w:jc w:val="left"/>
              <w:rPr/>
            </w:pPr>
            <w:r>
              <w:rPr/>
              <w:t> </w:t>
            </w:r>
          </w:p>
        </w:tc>
        <w:tc>
          <w:tcPr>
            <w:tcW w:w="1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w:t>
            </w:r>
          </w:p>
        </w:tc>
        <w:tc>
          <w:tcPr>
            <w:tcW w:w="146" w:type="dxa"/>
            <w:tcBorders/>
            <w:vAlign w:val="bottom"/>
          </w:tcPr>
          <w:p>
            <w:pPr>
              <w:pStyle w:val="TableContents"/>
              <w:bidi w:val="0"/>
              <w:spacing w:before="0" w:after="283"/>
              <w:jc w:val="left"/>
              <w:rPr/>
            </w:pPr>
            <w:r>
              <w:rPr/>
              <w:t> </w:t>
            </w:r>
          </w:p>
        </w:tc>
        <w:tc>
          <w:tcPr>
            <w:tcW w:w="9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w:t>
            </w:r>
          </w:p>
        </w:tc>
        <w:tc>
          <w:tcPr>
            <w:tcW w:w="146" w:type="dxa"/>
            <w:tcBorders/>
            <w:vAlign w:val="bottom"/>
          </w:tcPr>
          <w:p>
            <w:pPr>
              <w:pStyle w:val="TableContents"/>
              <w:bidi w:val="0"/>
              <w:spacing w:before="0" w:after="283"/>
              <w:jc w:val="left"/>
              <w:rPr/>
            </w:pPr>
            <w:r>
              <w:rPr/>
              <w:t> </w:t>
            </w:r>
          </w:p>
        </w:tc>
        <w:tc>
          <w:tcPr>
            <w:tcW w:w="15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shd w:fill="CCEEFF" w:val="clear"/>
            <w:vAlign w:val="bottom"/>
          </w:tcPr>
          <w:p>
            <w:pPr>
              <w:pStyle w:val="TableContents"/>
              <w:bidi w:val="0"/>
              <w:spacing w:before="0" w:after="283"/>
              <w:jc w:val="left"/>
              <w:rPr/>
            </w:pPr>
            <w:r>
              <w:rPr/>
              <w:t> </w:t>
            </w:r>
          </w:p>
        </w:tc>
        <w:tc>
          <w:tcPr>
            <w:tcW w:w="1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vAlign w:val="bottom"/>
          </w:tcPr>
          <w:p>
            <w:pPr>
              <w:pStyle w:val="TableContents"/>
              <w:bidi w:val="0"/>
              <w:spacing w:before="0" w:after="283"/>
              <w:jc w:val="left"/>
              <w:rPr/>
            </w:pPr>
            <w:r>
              <w:rPr/>
              <w:t> </w:t>
            </w:r>
          </w:p>
        </w:tc>
        <w:tc>
          <w:tcPr>
            <w:tcW w:w="1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9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5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current</w:t>
            </w:r>
          </w:p>
        </w:tc>
        <w:tc>
          <w:tcPr>
            <w:tcW w:w="146" w:type="dxa"/>
            <w:tcBorders/>
            <w:shd w:fill="CCEEFF" w:val="clear"/>
            <w:vAlign w:val="bottom"/>
          </w:tcPr>
          <w:p>
            <w:pPr>
              <w:pStyle w:val="TableContents"/>
              <w:bidi w:val="0"/>
              <w:spacing w:before="0" w:after="283"/>
              <w:jc w:val="left"/>
              <w:rPr/>
            </w:pPr>
            <w:r>
              <w:rPr/>
              <w:t> </w:t>
            </w:r>
          </w:p>
        </w:tc>
        <w:tc>
          <w:tcPr>
            <w:tcW w:w="1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16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c>
          <w:tcPr>
            <w:tcW w:w="146" w:type="dxa"/>
            <w:tcBorders/>
            <w:vAlign w:val="bottom"/>
          </w:tcPr>
          <w:p>
            <w:pPr>
              <w:pStyle w:val="TableContents"/>
              <w:bidi w:val="0"/>
              <w:spacing w:before="0" w:after="283"/>
              <w:jc w:val="left"/>
              <w:rPr/>
            </w:pPr>
            <w:r>
              <w:rPr/>
              <w:t> </w:t>
            </w:r>
          </w:p>
        </w:tc>
        <w:tc>
          <w:tcPr>
            <w:tcW w:w="9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c>
          <w:tcPr>
            <w:tcW w:w="146" w:type="dxa"/>
            <w:tcBorders/>
            <w:vAlign w:val="bottom"/>
          </w:tcPr>
          <w:p>
            <w:pPr>
              <w:pStyle w:val="TableContents"/>
              <w:bidi w:val="0"/>
              <w:spacing w:before="0" w:after="283"/>
              <w:jc w:val="left"/>
              <w:rPr/>
            </w:pPr>
            <w:r>
              <w:rPr/>
              <w:t> </w:t>
            </w:r>
          </w:p>
        </w:tc>
        <w:tc>
          <w:tcPr>
            <w:tcW w:w="152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 Breakdown of borrowings and other loans by maturity (undiscounted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2025</w:t>
      </w:r>
    </w:p>
    <w:tbl>
      <w:tblPr>
        <w:tblW w:w="10205" w:type="dxa"/>
        <w:jc w:val="left"/>
        <w:tblInd w:w="0" w:type="dxa"/>
        <w:tblLayout w:type="fixed"/>
        <w:tblCellMar>
          <w:top w:w="0" w:type="dxa"/>
          <w:left w:w="0" w:type="dxa"/>
          <w:bottom w:w="0" w:type="dxa"/>
          <w:right w:w="0" w:type="dxa"/>
        </w:tblCellMar>
      </w:tblPr>
      <w:tblGrid>
        <w:gridCol w:w="4625"/>
        <w:gridCol w:w="146"/>
        <w:gridCol w:w="1610"/>
        <w:gridCol w:w="146"/>
        <w:gridCol w:w="967"/>
        <w:gridCol w:w="146"/>
        <w:gridCol w:w="1442"/>
        <w:gridCol w:w="146"/>
        <w:gridCol w:w="977"/>
      </w:tblGrid>
      <w:tr>
        <w:trPr/>
        <w:tc>
          <w:tcPr>
            <w:tcW w:w="46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2,290</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2,290</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non-current</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non-current</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8,447</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3,521</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4,926</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161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11,968</w:t>
            </w:r>
          </w:p>
        </w:tc>
        <w:tc>
          <w:tcPr>
            <w:tcW w:w="146" w:type="dxa"/>
            <w:tcBorders/>
            <w:vAlign w:val="bottom"/>
          </w:tcPr>
          <w:p>
            <w:pPr>
              <w:pStyle w:val="TableContents"/>
              <w:bidi w:val="0"/>
              <w:spacing w:before="0" w:after="283"/>
              <w:jc w:val="left"/>
              <w:rPr/>
            </w:pPr>
            <w:r>
              <w:rPr/>
              <w:t> </w:t>
            </w:r>
          </w:p>
        </w:tc>
        <w:tc>
          <w:tcPr>
            <w:tcW w:w="9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7,042</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4,926</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Bond issues – current</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68,295</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68,295</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2,998</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2,998</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current</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current</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shd w:fill="CCEEFF" w:val="clear"/>
            <w:vAlign w:val="bottom"/>
          </w:tcPr>
          <w:p>
            <w:pPr>
              <w:pStyle w:val="TableContents"/>
              <w:bidi w:val="0"/>
              <w:spacing w:before="0" w:after="283"/>
              <w:jc w:val="left"/>
              <w:rPr/>
            </w:pPr>
            <w:r>
              <w:rPr/>
              <w:t> </w:t>
            </w:r>
          </w:p>
        </w:tc>
        <w:tc>
          <w:tcPr>
            <w:tcW w:w="161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71,468</w:t>
            </w:r>
          </w:p>
        </w:tc>
        <w:tc>
          <w:tcPr>
            <w:tcW w:w="146" w:type="dxa"/>
            <w:tcBorders/>
            <w:shd w:fill="CCEEFF" w:val="clear"/>
            <w:vAlign w:val="bottom"/>
          </w:tcPr>
          <w:p>
            <w:pPr>
              <w:pStyle w:val="TableContents"/>
              <w:bidi w:val="0"/>
              <w:spacing w:before="0" w:after="283"/>
              <w:jc w:val="left"/>
              <w:rPr/>
            </w:pPr>
            <w:r>
              <w:rPr/>
              <w:t> </w:t>
            </w:r>
          </w:p>
        </w:tc>
        <w:tc>
          <w:tcPr>
            <w:tcW w:w="9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71,468</w:t>
            </w:r>
          </w:p>
        </w:tc>
        <w:tc>
          <w:tcPr>
            <w:tcW w:w="146" w:type="dxa"/>
            <w:tcBorders/>
            <w:shd w:fill="CCEEFF" w:val="clear"/>
            <w:vAlign w:val="bottom"/>
          </w:tcPr>
          <w:p>
            <w:pPr>
              <w:pStyle w:val="TableContents"/>
              <w:bidi w:val="0"/>
              <w:spacing w:before="0" w:after="283"/>
              <w:jc w:val="left"/>
              <w:rPr/>
            </w:pPr>
            <w:r>
              <w:rPr/>
              <w:t> </w:t>
            </w:r>
          </w:p>
        </w:tc>
        <w:tc>
          <w:tcPr>
            <w:tcW w:w="14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2024</w:t>
      </w:r>
    </w:p>
    <w:tbl>
      <w:tblPr>
        <w:tblW w:w="10205" w:type="dxa"/>
        <w:jc w:val="left"/>
        <w:tblInd w:w="0" w:type="dxa"/>
        <w:tblLayout w:type="fixed"/>
        <w:tblCellMar>
          <w:top w:w="0" w:type="dxa"/>
          <w:left w:w="0" w:type="dxa"/>
          <w:bottom w:w="0" w:type="dxa"/>
          <w:right w:w="0" w:type="dxa"/>
        </w:tblCellMar>
      </w:tblPr>
      <w:tblGrid>
        <w:gridCol w:w="4629"/>
        <w:gridCol w:w="146"/>
        <w:gridCol w:w="1613"/>
        <w:gridCol w:w="146"/>
        <w:gridCol w:w="921"/>
        <w:gridCol w:w="146"/>
        <w:gridCol w:w="1481"/>
        <w:gridCol w:w="146"/>
        <w:gridCol w:w="977"/>
      </w:tblGrid>
      <w:tr>
        <w:trPr/>
        <w:tc>
          <w:tcPr>
            <w:tcW w:w="46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6,086</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6,086</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non-current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non-current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2,858</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16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9,630</w:t>
            </w:r>
          </w:p>
        </w:tc>
        <w:tc>
          <w:tcPr>
            <w:tcW w:w="146" w:type="dxa"/>
            <w:tcBorders/>
            <w:vAlign w:val="bottom"/>
          </w:tcPr>
          <w:p>
            <w:pPr>
              <w:pStyle w:val="TableContents"/>
              <w:bidi w:val="0"/>
              <w:spacing w:before="0" w:after="283"/>
              <w:jc w:val="left"/>
              <w:rPr/>
            </w:pPr>
            <w:r>
              <w:rPr/>
              <w:t> </w:t>
            </w:r>
          </w:p>
        </w:tc>
        <w:tc>
          <w:tcPr>
            <w:tcW w:w="9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7,807</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1,822</w:t>
            </w:r>
          </w:p>
        </w:tc>
      </w:tr>
      <w:tr>
        <w:trPr/>
        <w:tc>
          <w:tcPr>
            <w:tcW w:w="462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left"/>
              <w:rPr/>
            </w:pPr>
            <w:r>
              <w:rPr/>
              <w:t> </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Bond issues – current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current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shd w:fill="CCEEFF" w:val="clear"/>
            <w:vAlign w:val="bottom"/>
          </w:tcPr>
          <w:p>
            <w:pPr>
              <w:pStyle w:val="TableContents"/>
              <w:bidi w:val="0"/>
              <w:spacing w:before="0" w:after="283"/>
              <w:jc w:val="left"/>
              <w:rPr/>
            </w:pPr>
            <w:r>
              <w:rPr/>
              <w:t> </w:t>
            </w:r>
          </w:p>
        </w:tc>
        <w:tc>
          <w:tcPr>
            <w:tcW w:w="16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6,060</w:t>
            </w:r>
          </w:p>
        </w:tc>
        <w:tc>
          <w:tcPr>
            <w:tcW w:w="146" w:type="dxa"/>
            <w:tcBorders/>
            <w:shd w:fill="CCEEFF" w:val="clear"/>
            <w:vAlign w:val="bottom"/>
          </w:tcPr>
          <w:p>
            <w:pPr>
              <w:pStyle w:val="TableContents"/>
              <w:bidi w:val="0"/>
              <w:spacing w:before="0" w:after="283"/>
              <w:jc w:val="left"/>
              <w:rPr/>
            </w:pPr>
            <w:r>
              <w:rPr/>
              <w:t> </w:t>
            </w:r>
          </w:p>
        </w:tc>
        <w:tc>
          <w:tcPr>
            <w:tcW w:w="9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6,060</w:t>
            </w:r>
          </w:p>
        </w:tc>
        <w:tc>
          <w:tcPr>
            <w:tcW w:w="146" w:type="dxa"/>
            <w:tcBorders/>
            <w:shd w:fill="CCEEFF" w:val="clear"/>
            <w:vAlign w:val="bottom"/>
          </w:tcPr>
          <w:p>
            <w:pPr>
              <w:pStyle w:val="TableContents"/>
              <w:bidi w:val="0"/>
              <w:spacing w:before="0" w:after="283"/>
              <w:jc w:val="left"/>
              <w:rPr/>
            </w:pPr>
            <w:r>
              <w:rPr/>
              <w:t> </w:t>
            </w:r>
          </w:p>
        </w:tc>
        <w:tc>
          <w:tcPr>
            <w:tcW w:w="14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 Breakdown of current and non-current financial liabilities by type of interest rate</w:t>
      </w:r>
    </w:p>
    <w:tbl>
      <w:tblPr>
        <w:tblW w:w="5948" w:type="dxa"/>
        <w:jc w:val="left"/>
        <w:tblInd w:w="0" w:type="dxa"/>
        <w:tblLayout w:type="fixed"/>
        <w:tblCellMar>
          <w:top w:w="0" w:type="dxa"/>
          <w:left w:w="0" w:type="dxa"/>
          <w:bottom w:w="0" w:type="dxa"/>
          <w:right w:w="0" w:type="dxa"/>
        </w:tblCellMar>
      </w:tblPr>
      <w:tblGrid>
        <w:gridCol w:w="2341"/>
        <w:gridCol w:w="146"/>
        <w:gridCol w:w="986"/>
        <w:gridCol w:w="649"/>
        <w:gridCol w:w="146"/>
        <w:gridCol w:w="855"/>
        <w:gridCol w:w="825"/>
      </w:tblGrid>
      <w:tr>
        <w:trPr/>
        <w:tc>
          <w:tcPr>
            <w:tcW w:w="23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As a percentage</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rate liabilities</w:t>
            </w:r>
          </w:p>
        </w:tc>
        <w:tc>
          <w:tcPr>
            <w:tcW w:w="146"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6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8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rate liabilities</w:t>
            </w:r>
          </w:p>
        </w:tc>
        <w:tc>
          <w:tcPr>
            <w:tcW w:w="146" w:type="dxa"/>
            <w:tcBorders/>
            <w:vAlign w:val="bottom"/>
          </w:tcPr>
          <w:p>
            <w:pPr>
              <w:pStyle w:val="TableContents"/>
              <w:bidi w:val="0"/>
              <w:spacing w:before="0" w:after="283"/>
              <w:jc w:val="left"/>
              <w:rPr/>
            </w:pPr>
            <w:r>
              <w:rPr/>
              <w:t> </w:t>
            </w:r>
          </w:p>
        </w:tc>
        <w:tc>
          <w:tcPr>
            <w:tcW w:w="9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8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 Maturities of main financial liabilities at amortized cost</w:t>
      </w:r>
    </w:p>
    <w:tbl>
      <w:tblPr>
        <w:tblW w:w="10205" w:type="dxa"/>
        <w:jc w:val="left"/>
        <w:tblInd w:w="0" w:type="dxa"/>
        <w:tblLayout w:type="fixed"/>
        <w:tblCellMar>
          <w:top w:w="0" w:type="dxa"/>
          <w:left w:w="0" w:type="dxa"/>
          <w:bottom w:w="0" w:type="dxa"/>
          <w:right w:w="0" w:type="dxa"/>
        </w:tblCellMar>
      </w:tblPr>
      <w:tblGrid>
        <w:gridCol w:w="3262"/>
        <w:gridCol w:w="146"/>
        <w:gridCol w:w="2006"/>
        <w:gridCol w:w="146"/>
        <w:gridCol w:w="2006"/>
        <w:gridCol w:w="146"/>
        <w:gridCol w:w="1006"/>
        <w:gridCol w:w="146"/>
        <w:gridCol w:w="880"/>
        <w:gridCol w:w="461"/>
      </w:tblGrid>
      <w:tr>
        <w:trPr/>
        <w:tc>
          <w:tcPr>
            <w:tcW w:w="32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Starting date</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Maturity date</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Nominal</w:t>
            </w:r>
          </w:p>
        </w:tc>
        <w:tc>
          <w:tcPr>
            <w:tcW w:w="146" w:type="dxa"/>
            <w:tcBorders/>
            <w:vAlign w:val="bottom"/>
          </w:tcPr>
          <w:p>
            <w:pPr>
              <w:pStyle w:val="TableContents"/>
              <w:bidi w:val="0"/>
              <w:spacing w:before="0" w:after="283"/>
              <w:jc w:val="left"/>
              <w:rPr/>
            </w:pPr>
            <w:r>
              <w:rPr/>
              <w:t> </w:t>
            </w:r>
          </w:p>
        </w:tc>
        <w:tc>
          <w:tcPr>
            <w:tcW w:w="13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Annual rate</w:t>
            </w:r>
          </w:p>
        </w:tc>
      </w:tr>
      <w:tr>
        <w:trPr/>
        <w:tc>
          <w:tcPr>
            <w:tcW w:w="3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 Innovation R&amp;D</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2021</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2,000</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0.71</w:t>
            </w:r>
          </w:p>
        </w:tc>
        <w:tc>
          <w:tcPr>
            <w:tcW w:w="4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2021</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2,000</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3.57</w:t>
            </w:r>
          </w:p>
        </w:tc>
        <w:tc>
          <w:tcPr>
            <w:tcW w:w="4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Investissement Québec – Pasqal Canada</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27, 2024</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27, 2034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3,289</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4.09</w:t>
            </w:r>
          </w:p>
        </w:tc>
        <w:tc>
          <w:tcPr>
            <w:tcW w:w="4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BDC Capital Inc.</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18, 2024</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19, 2026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1,863</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4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Illinois Finance Authority</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7, 2025</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7, 2035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5,114</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3.55</w:t>
            </w:r>
          </w:p>
        </w:tc>
        <w:tc>
          <w:tcPr>
            <w:tcW w:w="4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not subject to financial covenants that could affect the terms, repayment schedule, or continuity of the financing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secured by collateral are presented in Note 29.1.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Breakdown of lease liabilities by maturity is given in Note 11.2.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 Breakdown of current and non-current financial liabilities by currency</w:t>
      </w:r>
    </w:p>
    <w:tbl>
      <w:tblPr>
        <w:tblW w:w="10205" w:type="dxa"/>
        <w:jc w:val="left"/>
        <w:tblInd w:w="0" w:type="dxa"/>
        <w:tblLayout w:type="fixed"/>
        <w:tblCellMar>
          <w:top w:w="0" w:type="dxa"/>
          <w:left w:w="0" w:type="dxa"/>
          <w:bottom w:w="0" w:type="dxa"/>
          <w:right w:w="0" w:type="dxa"/>
        </w:tblCellMar>
      </w:tblPr>
      <w:tblGrid>
        <w:gridCol w:w="5912"/>
        <w:gridCol w:w="146"/>
        <w:gridCol w:w="1051"/>
        <w:gridCol w:w="146"/>
        <w:gridCol w:w="781"/>
        <w:gridCol w:w="146"/>
        <w:gridCol w:w="781"/>
        <w:gridCol w:w="146"/>
        <w:gridCol w:w="1096"/>
      </w:tblGrid>
      <w:tr>
        <w:trPr/>
        <w:tc>
          <w:tcPr>
            <w:tcW w:w="59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EUR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9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non-current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7,640</w:t>
            </w:r>
          </w:p>
        </w:tc>
      </w:tr>
      <w:tr>
        <w:trPr/>
        <w:tc>
          <w:tcPr>
            <w:tcW w:w="59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102,868</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105,998</w:t>
            </w:r>
          </w:p>
        </w:tc>
      </w:tr>
      <w:tr>
        <w:trPr/>
        <w:tc>
          <w:tcPr>
            <w:tcW w:w="59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liabilities by currencies at December 31, 2025</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105,998</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4,833</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1,973</w:t>
            </w:r>
          </w:p>
        </w:tc>
        <w:tc>
          <w:tcPr>
            <w:tcW w:w="146" w:type="dxa"/>
            <w:tcBorders/>
            <w:shd w:fill="CCEEFF" w:val="clear"/>
            <w:vAlign w:val="bottom"/>
          </w:tcPr>
          <w:p>
            <w:pPr>
              <w:pStyle w:val="TableContents"/>
              <w:bidi w:val="0"/>
              <w:spacing w:before="0" w:after="283"/>
              <w:jc w:val="left"/>
              <w:rPr/>
            </w:pPr>
            <w:r>
              <w:rPr/>
              <w:t> </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112,804</w:t>
            </w:r>
          </w:p>
        </w:tc>
      </w:tr>
    </w:tbl>
    <w:tbl>
      <w:tblPr>
        <w:tblW w:w="9934" w:type="dxa"/>
        <w:jc w:val="left"/>
        <w:tblInd w:w="0" w:type="dxa"/>
        <w:tblLayout w:type="fixed"/>
        <w:tblCellMar>
          <w:top w:w="0" w:type="dxa"/>
          <w:left w:w="0" w:type="dxa"/>
          <w:bottom w:w="0" w:type="dxa"/>
          <w:right w:w="0" w:type="dxa"/>
        </w:tblCellMar>
      </w:tblPr>
      <w:tblGrid>
        <w:gridCol w:w="6226"/>
        <w:gridCol w:w="146"/>
        <w:gridCol w:w="781"/>
        <w:gridCol w:w="146"/>
        <w:gridCol w:w="781"/>
        <w:gridCol w:w="146"/>
        <w:gridCol w:w="601"/>
        <w:gridCol w:w="146"/>
        <w:gridCol w:w="961"/>
      </w:tblGrid>
      <w:tr>
        <w:trPr/>
        <w:tc>
          <w:tcPr>
            <w:tcW w:w="6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EUR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CAD</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non-current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3,168</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4,684</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7,853</w:t>
            </w:r>
          </w:p>
        </w:tc>
      </w:tr>
      <w:tr>
        <w:trP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r>
      <w:tr>
        <w:trP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liabilities by currencies at December 31, 2024</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8,692</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4,690</w:t>
            </w:r>
          </w:p>
        </w:tc>
        <w:tc>
          <w:tcPr>
            <w:tcW w:w="146" w:type="dxa"/>
            <w:tcBorders/>
            <w:shd w:fill="CCEEFF" w:val="clear"/>
            <w:vAlign w:val="bottom"/>
          </w:tcPr>
          <w:p>
            <w:pPr>
              <w:pStyle w:val="TableContents"/>
              <w:bidi w:val="0"/>
              <w:spacing w:before="0" w:after="283"/>
              <w:jc w:val="left"/>
              <w:rPr/>
            </w:pPr>
            <w:r>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13,382</w:t>
            </w:r>
          </w:p>
        </w:tc>
      </w:tr>
    </w:tbl>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Lease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lease liability is initially measured at the present value of the lease payments to be made over the lease term. This amount is estimated in each currency based on available market data and takes into account the expected lease term. Lease payments may include fixed or variable payments that depend on a rate or index known at the beginning of the contract. The term used to calculate the lease liability generally corresponds to the fixed term of the contract, unless there is reasonable certainty that the contract will be renewed or terminated. Management reviews the terms at each reporting date. The discount rate used is the lessee’s marginal borrowing rate. Lease liability is measured at amortized cost using the effective interest rate method.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lessee thus records: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non-current asset representing the right to use the leased asset in the assets section of the consolidated statement of financial position (See Note 7.4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financial liability representing the obligation to pay this right in the liabilities section of the consolidated statement of financial position;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Lease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Depreciation charges for rights of use and interest expense on lease liabilities in the consolidated income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simplifications introduced by the standard and adopted by the Group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exclusion of short-term leases;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And the exclusion of leases relating to low-value assets, i.e. assets with a value under €5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payments from contracts excluded from the scope of IFRS 16, as well as variable payments not taken into account in the initial measurement of the liability, are recognized as operating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 Changes in lease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8693" w:type="dxa"/>
        <w:jc w:val="left"/>
        <w:tblInd w:w="0" w:type="dxa"/>
        <w:tblLayout w:type="fixed"/>
        <w:tblCellMar>
          <w:top w:w="0" w:type="dxa"/>
          <w:left w:w="0" w:type="dxa"/>
          <w:bottom w:w="0" w:type="dxa"/>
          <w:right w:w="0" w:type="dxa"/>
        </w:tblCellMar>
      </w:tblPr>
      <w:tblGrid>
        <w:gridCol w:w="4351"/>
        <w:gridCol w:w="146"/>
        <w:gridCol w:w="1105"/>
        <w:gridCol w:w="291"/>
        <w:gridCol w:w="146"/>
        <w:gridCol w:w="998"/>
        <w:gridCol w:w="308"/>
        <w:gridCol w:w="146"/>
        <w:gridCol w:w="916"/>
        <w:gridCol w:w="286"/>
      </w:tblGrid>
      <w:tr>
        <w:trPr/>
        <w:tc>
          <w:tcPr>
            <w:tcW w:w="4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Lease </w:t>
              <w:br/>
              <w:t>liabilities – </w:t>
              <w:br/>
              <w:t>non-current</w:t>
            </w:r>
          </w:p>
        </w:tc>
        <w:tc>
          <w:tcPr>
            <w:tcW w:w="146"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Lease </w:t>
              <w:br/>
              <w:t>liabilities – </w:t>
              <w:br/>
              <w:t>current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 at January 1, 2024</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760</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1,553</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(1,390</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Decrease(1)</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w:t>
            </w:r>
          </w:p>
        </w:tc>
        <w:tc>
          <w:tcPr>
            <w:tcW w:w="2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 at December 31, 2024</w:t>
            </w:r>
          </w:p>
        </w:tc>
        <w:tc>
          <w:tcPr>
            <w:tcW w:w="146" w:type="dxa"/>
            <w:tcBorders/>
            <w:shd w:fill="CCEEFF" w:val="clear"/>
            <w:vAlign w:val="bottom"/>
          </w:tcPr>
          <w:p>
            <w:pPr>
              <w:pStyle w:val="TableContents"/>
              <w:bidi w:val="0"/>
              <w:spacing w:before="0" w:after="283"/>
              <w:jc w:val="left"/>
              <w:rPr/>
            </w:pPr>
            <w:r>
              <w:rPr/>
              <w:t> </w:t>
            </w:r>
          </w:p>
        </w:tc>
        <w:tc>
          <w:tcPr>
            <w:tcW w:w="11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10,190</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835</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Decrease(1)</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w:t>
            </w:r>
          </w:p>
        </w:tc>
        <w:tc>
          <w:tcPr>
            <w:tcW w:w="2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 at December 31, 2025</w:t>
            </w:r>
          </w:p>
        </w:tc>
        <w:tc>
          <w:tcPr>
            <w:tcW w:w="146" w:type="dxa"/>
            <w:tcBorders/>
            <w:shd w:fill="CCEEFF" w:val="clear"/>
            <w:vAlign w:val="bottom"/>
          </w:tcPr>
          <w:p>
            <w:pPr>
              <w:pStyle w:val="TableContents"/>
              <w:bidi w:val="0"/>
              <w:spacing w:before="0" w:after="283"/>
              <w:jc w:val="left"/>
              <w:rPr/>
            </w:pPr>
            <w:r>
              <w:rPr/>
              <w:t> </w:t>
            </w:r>
          </w:p>
        </w:tc>
        <w:tc>
          <w:tcPr>
            <w:tcW w:w="11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9,627</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524</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Relates to lease contracts termination.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 Breakdown of lease liabilities by maturity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2025</w:t>
      </w:r>
    </w:p>
    <w:tbl>
      <w:tblPr>
        <w:tblW w:w="7759" w:type="dxa"/>
        <w:jc w:val="left"/>
        <w:tblInd w:w="0" w:type="dxa"/>
        <w:tblLayout w:type="fixed"/>
        <w:tblCellMar>
          <w:top w:w="0" w:type="dxa"/>
          <w:left w:w="0" w:type="dxa"/>
          <w:bottom w:w="0" w:type="dxa"/>
          <w:right w:w="0" w:type="dxa"/>
        </w:tblCellMar>
      </w:tblPr>
      <w:tblGrid>
        <w:gridCol w:w="1816"/>
        <w:gridCol w:w="146"/>
        <w:gridCol w:w="1636"/>
        <w:gridCol w:w="146"/>
        <w:gridCol w:w="1006"/>
        <w:gridCol w:w="146"/>
        <w:gridCol w:w="1741"/>
        <w:gridCol w:w="146"/>
        <w:gridCol w:w="976"/>
      </w:tblGrid>
      <w:tr>
        <w:trPr/>
        <w:tc>
          <w:tcPr>
            <w:tcW w:w="18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4,899</w:t>
            </w:r>
          </w:p>
        </w:tc>
      </w:tr>
      <w:tr>
        <w:trPr/>
        <w:tc>
          <w:tcPr>
            <w:tcW w:w="1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10,151</w:t>
            </w:r>
          </w:p>
        </w:tc>
        <w:tc>
          <w:tcPr>
            <w:tcW w:w="146" w:type="dxa"/>
            <w:tcBorders/>
            <w:vAlign w:val="bottom"/>
          </w:tcPr>
          <w:p>
            <w:pPr>
              <w:pStyle w:val="TableContents"/>
              <w:bidi w:val="0"/>
              <w:spacing w:before="0" w:after="283"/>
              <w:jc w:val="left"/>
              <w:rPr/>
            </w:pPr>
            <w:r>
              <w:rPr/>
              <w:t> </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524</w:t>
            </w:r>
          </w:p>
        </w:tc>
        <w:tc>
          <w:tcPr>
            <w:tcW w:w="146" w:type="dxa"/>
            <w:tcBorders/>
            <w:vAlign w:val="bottom"/>
          </w:tcPr>
          <w:p>
            <w:pPr>
              <w:pStyle w:val="TableContents"/>
              <w:bidi w:val="0"/>
              <w:spacing w:before="0" w:after="283"/>
              <w:jc w:val="left"/>
              <w:rPr/>
            </w:pPr>
            <w:r>
              <w:rPr/>
              <w:t> </w:t>
            </w:r>
          </w:p>
        </w:tc>
        <w:tc>
          <w:tcPr>
            <w:tcW w:w="17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4,729</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4,899</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2024</w:t>
      </w:r>
    </w:p>
    <w:tbl>
      <w:tblPr>
        <w:tblW w:w="7759" w:type="dxa"/>
        <w:jc w:val="left"/>
        <w:tblInd w:w="0" w:type="dxa"/>
        <w:tblLayout w:type="fixed"/>
        <w:tblCellMar>
          <w:top w:w="0" w:type="dxa"/>
          <w:left w:w="0" w:type="dxa"/>
          <w:bottom w:w="0" w:type="dxa"/>
          <w:right w:w="0" w:type="dxa"/>
        </w:tblCellMar>
      </w:tblPr>
      <w:tblGrid>
        <w:gridCol w:w="1816"/>
        <w:gridCol w:w="146"/>
        <w:gridCol w:w="1636"/>
        <w:gridCol w:w="146"/>
        <w:gridCol w:w="1006"/>
        <w:gridCol w:w="146"/>
        <w:gridCol w:w="1741"/>
        <w:gridCol w:w="146"/>
        <w:gridCol w:w="976"/>
      </w:tblGrid>
      <w:tr>
        <w:trPr/>
        <w:tc>
          <w:tcPr>
            <w:tcW w:w="18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6,250</w:t>
            </w:r>
          </w:p>
        </w:tc>
      </w:tr>
      <w:tr>
        <w:trPr/>
        <w:tc>
          <w:tcPr>
            <w:tcW w:w="1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11,025</w:t>
            </w:r>
          </w:p>
        </w:tc>
        <w:tc>
          <w:tcPr>
            <w:tcW w:w="146" w:type="dxa"/>
            <w:tcBorders/>
            <w:vAlign w:val="bottom"/>
          </w:tcPr>
          <w:p>
            <w:pPr>
              <w:pStyle w:val="TableContents"/>
              <w:bidi w:val="0"/>
              <w:spacing w:before="0" w:after="283"/>
              <w:jc w:val="left"/>
              <w:rPr/>
            </w:pPr>
            <w:r>
              <w:rPr/>
              <w:t> </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836</w:t>
            </w:r>
          </w:p>
        </w:tc>
        <w:tc>
          <w:tcPr>
            <w:tcW w:w="146" w:type="dxa"/>
            <w:tcBorders/>
            <w:vAlign w:val="bottom"/>
          </w:tcPr>
          <w:p>
            <w:pPr>
              <w:pStyle w:val="TableContents"/>
              <w:bidi w:val="0"/>
              <w:spacing w:before="0" w:after="283"/>
              <w:jc w:val="left"/>
              <w:rPr/>
            </w:pPr>
            <w:r>
              <w:rPr/>
              <w:t> </w:t>
            </w:r>
          </w:p>
        </w:tc>
        <w:tc>
          <w:tcPr>
            <w:tcW w:w="17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3,939</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Lease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 Lease expenses</w:t>
      </w:r>
    </w:p>
    <w:tbl>
      <w:tblPr>
        <w:tblW w:w="10205" w:type="dxa"/>
        <w:jc w:val="left"/>
        <w:tblInd w:w="0" w:type="dxa"/>
        <w:tblLayout w:type="fixed"/>
        <w:tblCellMar>
          <w:top w:w="0" w:type="dxa"/>
          <w:left w:w="0" w:type="dxa"/>
          <w:bottom w:w="0" w:type="dxa"/>
          <w:right w:w="0" w:type="dxa"/>
        </w:tblCellMar>
      </w:tblPr>
      <w:tblGrid>
        <w:gridCol w:w="6610"/>
        <w:gridCol w:w="146"/>
        <w:gridCol w:w="1255"/>
        <w:gridCol w:w="373"/>
        <w:gridCol w:w="146"/>
        <w:gridCol w:w="1237"/>
        <w:gridCol w:w="438"/>
      </w:tblGrid>
      <w:tr>
        <w:trPr/>
        <w:tc>
          <w:tcPr>
            <w:tcW w:w="66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of right-of-use assets</w:t>
            </w:r>
          </w:p>
        </w:tc>
        <w:tc>
          <w:tcPr>
            <w:tcW w:w="146"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37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43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lease liabilities</w:t>
            </w:r>
          </w:p>
        </w:tc>
        <w:tc>
          <w:tcPr>
            <w:tcW w:w="146" w:type="dxa"/>
            <w:tcBorders/>
            <w:vAlign w:val="bottom"/>
          </w:tcPr>
          <w:p>
            <w:pPr>
              <w:pStyle w:val="TableContents"/>
              <w:bidi w:val="0"/>
              <w:spacing w:before="0" w:after="283"/>
              <w:jc w:val="left"/>
              <w:rPr/>
            </w:pPr>
            <w:r>
              <w:rPr/>
              <w:t> </w:t>
            </w:r>
          </w:p>
        </w:tc>
        <w:tc>
          <w:tcPr>
            <w:tcW w:w="125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37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43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amount recognized in profit or loss</w:t>
            </w:r>
          </w:p>
        </w:tc>
        <w:tc>
          <w:tcPr>
            <w:tcW w:w="146" w:type="dxa"/>
            <w:tcBorders/>
            <w:shd w:fill="CCEEFF" w:val="clear"/>
            <w:vAlign w:val="bottom"/>
          </w:tcPr>
          <w:p>
            <w:pPr>
              <w:pStyle w:val="TableContents"/>
              <w:bidi w:val="0"/>
              <w:spacing w:before="0" w:after="283"/>
              <w:jc w:val="left"/>
              <w:rPr/>
            </w:pPr>
            <w:r>
              <w:rPr/>
              <w:t> </w:t>
            </w:r>
          </w:p>
        </w:tc>
        <w:tc>
          <w:tcPr>
            <w:tcW w:w="12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(2,125</w:t>
            </w:r>
          </w:p>
        </w:tc>
        <w:tc>
          <w:tcPr>
            <w:tcW w:w="37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(2,062</w:t>
            </w:r>
          </w:p>
        </w:tc>
        <w:tc>
          <w:tcPr>
            <w:tcW w:w="43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leases</w:t>
            </w:r>
          </w:p>
        </w:tc>
        <w:tc>
          <w:tcPr>
            <w:tcW w:w="146" w:type="dxa"/>
            <w:tcBorders/>
            <w:vAlign w:val="bottom"/>
          </w:tcPr>
          <w:p>
            <w:pPr>
              <w:pStyle w:val="TableContents"/>
              <w:bidi w:val="0"/>
              <w:spacing w:before="0" w:after="283"/>
              <w:jc w:val="left"/>
              <w:rPr/>
            </w:pPr>
            <w:r>
              <w:rPr/>
              <w:t> </w:t>
            </w:r>
          </w:p>
        </w:tc>
        <w:tc>
          <w:tcPr>
            <w:tcW w:w="12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(2,483</w:t>
            </w:r>
          </w:p>
        </w:tc>
        <w:tc>
          <w:tcPr>
            <w:tcW w:w="37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w:t>
            </w:r>
          </w:p>
        </w:tc>
        <w:tc>
          <w:tcPr>
            <w:tcW w:w="43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lease payments</w:t>
            </w:r>
          </w:p>
        </w:tc>
        <w:tc>
          <w:tcPr>
            <w:tcW w:w="146"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expense not included in the measurement of lease liability</w:t>
            </w:r>
          </w:p>
        </w:tc>
        <w:tc>
          <w:tcPr>
            <w:tcW w:w="146" w:type="dxa"/>
            <w:tcBorders/>
            <w:vAlign w:val="bottom"/>
          </w:tcPr>
          <w:p>
            <w:pPr>
              <w:pStyle w:val="TableContents"/>
              <w:bidi w:val="0"/>
              <w:spacing w:before="0" w:after="283"/>
              <w:jc w:val="left"/>
              <w:rPr/>
            </w:pPr>
            <w:r>
              <w:rPr/>
              <w:t> </w:t>
            </w:r>
          </w:p>
        </w:tc>
        <w:tc>
          <w:tcPr>
            <w:tcW w:w="1255"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(2,483</w:t>
            </w:r>
          </w:p>
        </w:tc>
        <w:tc>
          <w:tcPr>
            <w:tcW w:w="37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7"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(2,430</w:t>
            </w:r>
          </w:p>
        </w:tc>
        <w:tc>
          <w:tcPr>
            <w:tcW w:w="438"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IAS 37, provisions are recognized at the reporting date when the Group has an obligation to a third party resulting from a past event and it is probable that the settlement of this obligation will result in an outflow of resources embodying economic benefits from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provisions are discounted if the effect of the time value of money is significant, in accordance with IAS 37. Provisions mainly include provisions for litigation, claims and disputes likely to occur from Group activities, as well as provisions related to the normal operating cycle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are considered current if they cover an obligation that must be settled or resolved within 12 months of the reporting date. Otherwise, provisions are classified as non-current.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has a contract that is onerous, the present obligation under the contract is recognized and measured as a provision. However, before a separate provision for an onerous contract is established, the Group recognizes any impairment loss that has occurred on assets dedicated to that contract.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onerous contract is a contract under which the unavoidable costs (i.e., the costs that the Group cannot avoid because it has the contract) of meeting the obligations under the contract exceed the economic benefits expected to be received under it. The unavoidable costs under a contract reflect the least net cost of exiting from the contract, which is the lower of the cost of fulfilling it and any compensation or penalties arising from failure to fulfil it. The cost of fulfilling a contract comprises the costs that relate directly to the contract (i.e., both incremental costs and an allocation of costs directly related to contract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9979" w:type="dxa"/>
        <w:jc w:val="left"/>
        <w:tblInd w:w="0" w:type="dxa"/>
        <w:tblLayout w:type="fixed"/>
        <w:tblCellMar>
          <w:top w:w="0" w:type="dxa"/>
          <w:left w:w="0" w:type="dxa"/>
          <w:bottom w:w="0" w:type="dxa"/>
          <w:right w:w="0" w:type="dxa"/>
        </w:tblCellMar>
      </w:tblPr>
      <w:tblGrid>
        <w:gridCol w:w="3061"/>
        <w:gridCol w:w="146"/>
        <w:gridCol w:w="1621"/>
        <w:gridCol w:w="146"/>
        <w:gridCol w:w="1396"/>
        <w:gridCol w:w="146"/>
        <w:gridCol w:w="1486"/>
        <w:gridCol w:w="146"/>
        <w:gridCol w:w="1831"/>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Provisions for </w:t>
              <w:br/>
              <w:t>litigation</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Provisions </w:t>
              <w:br/>
              <w:t xml:space="preserve">for onerous </w:t>
              <w:br/>
              <w:t>contract(1)</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provisions(2)</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provisions</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January 01, 2024</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Increases in provisions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3,291</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4,728</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used</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unused provisions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Reclassifications</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2024</w:t>
            </w:r>
          </w:p>
        </w:tc>
        <w:tc>
          <w:tcPr>
            <w:tcW w:w="146" w:type="dxa"/>
            <w:tcBorders/>
            <w:vAlign w:val="bottom"/>
          </w:tcPr>
          <w:p>
            <w:pPr>
              <w:pStyle w:val="TableContents"/>
              <w:bidi w:val="0"/>
              <w:spacing w:before="0" w:after="283"/>
              <w:jc w:val="left"/>
              <w:rPr/>
            </w:pPr>
            <w:r>
              <w:rPr/>
              <w:t> </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1,438</w:t>
            </w:r>
          </w:p>
        </w:tc>
        <w:tc>
          <w:tcPr>
            <w:tcW w:w="146" w:type="dxa"/>
            <w:tcBorders/>
            <w:vAlign w:val="bottom"/>
          </w:tcPr>
          <w:p>
            <w:pPr>
              <w:pStyle w:val="TableContents"/>
              <w:bidi w:val="0"/>
              <w:spacing w:before="0" w:after="283"/>
              <w:jc w:val="left"/>
              <w:rPr/>
            </w:pPr>
            <w:r>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3,296</w:t>
            </w:r>
          </w:p>
        </w:tc>
        <w:tc>
          <w:tcPr>
            <w:tcW w:w="146" w:type="dxa"/>
            <w:tcBorders/>
            <w:vAlign w:val="bottom"/>
          </w:tcPr>
          <w:p>
            <w:pPr>
              <w:pStyle w:val="TableContents"/>
              <w:bidi w:val="0"/>
              <w:spacing w:before="0" w:after="283"/>
              <w:jc w:val="left"/>
              <w:rPr/>
            </w:pPr>
            <w:r>
              <w:rPr/>
              <w:t> </w:t>
            </w:r>
          </w:p>
        </w:tc>
        <w:tc>
          <w:tcPr>
            <w:tcW w:w="18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4,733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Provisions </w:t>
      </w:r>
      <w:r>
        <w:rPr>
          <w:rFonts w:ascii="Times New Roman PS Std;serif" w:hAnsi="Times New Roman PS Std;serif"/>
          <w:b w:val="false"/>
          <w:i w:val="false"/>
          <w:caps w:val="false"/>
          <w:smallCaps w:val="false"/>
          <w:sz w:val="20"/>
        </w:rPr>
        <w:t>(cont.)</w:t>
      </w:r>
    </w:p>
    <w:tbl>
      <w:tblPr>
        <w:tblW w:w="9976" w:type="dxa"/>
        <w:jc w:val="left"/>
        <w:tblInd w:w="0" w:type="dxa"/>
        <w:tblLayout w:type="fixed"/>
        <w:tblCellMar>
          <w:top w:w="0" w:type="dxa"/>
          <w:left w:w="0" w:type="dxa"/>
          <w:bottom w:w="0" w:type="dxa"/>
          <w:right w:w="0" w:type="dxa"/>
        </w:tblCellMar>
      </w:tblPr>
      <w:tblGrid>
        <w:gridCol w:w="3061"/>
        <w:gridCol w:w="146"/>
        <w:gridCol w:w="1621"/>
        <w:gridCol w:w="146"/>
        <w:gridCol w:w="1066"/>
        <w:gridCol w:w="329"/>
        <w:gridCol w:w="146"/>
        <w:gridCol w:w="1134"/>
        <w:gridCol w:w="351"/>
        <w:gridCol w:w="146"/>
        <w:gridCol w:w="1340"/>
        <w:gridCol w:w="490"/>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Provisions for </w:t>
              <w:br/>
              <w:t>litigation</w:t>
            </w:r>
          </w:p>
        </w:tc>
        <w:tc>
          <w:tcPr>
            <w:tcW w:w="146"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Provisions </w:t>
              <w:br/>
              <w:t xml:space="preserve">for onerous </w:t>
              <w:br/>
              <w:t>contract(1)</w:t>
            </w:r>
          </w:p>
        </w:tc>
        <w:tc>
          <w:tcPr>
            <w:tcW w:w="146" w:type="dxa"/>
            <w:tcBorders/>
            <w:vAlign w:val="bottom"/>
          </w:tcPr>
          <w:p>
            <w:pPr>
              <w:pStyle w:val="TableContents"/>
              <w:bidi w:val="0"/>
              <w:spacing w:before="0" w:after="283"/>
              <w:jc w:val="left"/>
              <w:rPr/>
            </w:pPr>
            <w:r>
              <w:rPr/>
              <w:t> </w:t>
            </w:r>
          </w:p>
        </w:tc>
        <w:tc>
          <w:tcPr>
            <w:tcW w:w="14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provisions(2)</w:t>
            </w:r>
          </w:p>
        </w:tc>
        <w:tc>
          <w:tcPr>
            <w:tcW w:w="146" w:type="dxa"/>
            <w:tcBorders/>
            <w:vAlign w:val="bottom"/>
          </w:tcPr>
          <w:p>
            <w:pPr>
              <w:pStyle w:val="TableContents"/>
              <w:bidi w:val="0"/>
              <w:spacing w:before="0" w:after="283"/>
              <w:jc w:val="left"/>
              <w:rPr/>
            </w:pPr>
            <w:r>
              <w:rPr/>
              <w:t> </w:t>
            </w:r>
          </w:p>
        </w:tc>
        <w:tc>
          <w:tcPr>
            <w:tcW w:w="18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provisions</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Increases in provisions</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w:t>
            </w:r>
          </w:p>
        </w:tc>
        <w:tc>
          <w:tcPr>
            <w:tcW w:w="4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used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(3,286</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(3,286</w:t>
            </w:r>
          </w:p>
        </w:tc>
        <w:tc>
          <w:tcPr>
            <w:tcW w:w="4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unused provisions</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w:t>
            </w:r>
          </w:p>
        </w:tc>
        <w:tc>
          <w:tcPr>
            <w:tcW w:w="4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4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3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49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2025</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256</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356</w:t>
            </w:r>
          </w:p>
        </w:tc>
        <w:tc>
          <w:tcPr>
            <w:tcW w:w="4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In December 2024, Pasqal Canada Inc. entered into (i) a contract to supply and install a QPU at Quebec Inc.’s premises and (ii) a related five-year operating and maintenance (“O&amp;M”) agreement. Because of the significant uncertainties affecting the contract price payable by the customer, Pasqual recorded a provision for onerous contract. Based on its best estimate, Pasqal recognized in 2024 a €1,438 thousand non-current</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provision for an onerous contract and a €235 thousand impairment of inventories in progress.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As of December 31, 2025, the overall level of exposure relating to this contract remained unchanged. The previously recognized onerous contract provision was reversed and reallocated to an impairment of the related work-in-progress inventory (see Note 8.1 for further disclosure).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As of December 31, 2024, other provisions mainly included a provision of €2,729 thousand for lease termination costs in connection with the cancellation by the Group of a signed lease agreement for new premises in Paris (“Sentier lease”). In 2025, this provision was utilized following the effective termination of the lease during the period and the recognition of actual costs incurred (see Note 23 for further disclosure).</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Employee benefit liabilities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IAS 19 — Employee Benefits, the liability with respect to defined benefit plans is estimated by using the projected credit unit method, which relies on demographic and financial assumptions.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this method, the cost of retirement benefits is recognized in the consolidated statement of income (loss) in a manner that spreads the expense evenly over the employees’ period of service. Retirement benefit obligations are measured at the present value of estimated future benefit payments, discounted using market rates of high-quality corporate bonds with maturities that approximate the timing of the expected benefit payments.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change in the provision between the beginning and the end of the period is recognized: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profit or loss, for the portion relating to service costs and net interest expense;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other comprehensive income (loss), for the portion corresponding to actuarial gains and losses.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doesn’t operate any other defined benefit plans.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contributions to the defined contribution plan are recognized as expenses in the consolidated statement of income (loss) for the period in which they are incurred.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December 31, 2025, employee benefit liabilities break down as follows:</w:t>
      </w:r>
    </w:p>
    <w:tbl>
      <w:tblPr>
        <w:tblW w:w="7330" w:type="dxa"/>
        <w:jc w:val="left"/>
        <w:tblInd w:w="0" w:type="dxa"/>
        <w:tblLayout w:type="fixed"/>
        <w:tblCellMar>
          <w:top w:w="0" w:type="dxa"/>
          <w:left w:w="0" w:type="dxa"/>
          <w:bottom w:w="0" w:type="dxa"/>
          <w:right w:w="0" w:type="dxa"/>
        </w:tblCellMar>
      </w:tblPr>
      <w:tblGrid>
        <w:gridCol w:w="3721"/>
        <w:gridCol w:w="146"/>
        <w:gridCol w:w="1636"/>
        <w:gridCol w:w="146"/>
        <w:gridCol w:w="1681"/>
      </w:tblGrid>
      <w:tr>
        <w:trPr/>
        <w:tc>
          <w:tcPr>
            <w:tcW w:w="37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Cash-settled share-based payments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10,542</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6,146</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Defined benefit obligation</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employee benefit 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employee benefit liabilities</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11,051</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6,839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Employee benefit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 Employee benefit obligation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France: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employees of the Company in France are entitled to retirement benefits under French law, which include: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retirement pensions paid by social security bodies, funded through contributions from both the Company and the employees (a defined contribution plan);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lump-sum payment made by the Company to employees when they retire (a defined benefit plan). The amount paid depends on their length of service with the Company and is determined by the collective agreement or Company agreement in force. The retirement indemnity plan (RIP) scheme is statutory and compulsory for all French companies.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a defined benefit scheme for which a provision is established. As of December 31, 2025 and 2024, the amounts were €499 thousand and €405 thousand, respectively.</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Korea: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 of the Company in Korea are entitled to retirement benefits under Korean labor law. All employees who have completed at least one year of continuous service are entitled to a statutory retirement benefit. It corresponds to a lump-sum payment that depends on the employee’s length of service with the Company and becomes payable upon termination of employment.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statutory severance scheme qualifies as a defined benefit plan under IAS 19. As of December 31, 2025, the benefit obligation amounts to €15 thousand (nil in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and present value of the defined benefit obligation are determined using actuarial valuations. An actuarial valuation involves making various assumptions that may differ from actual developments in the future. These include the determination of the discount rate, future salary increases, mortality rates and future pension increases. Due to the complexities involved in the valuation and its long-term nature, a defined benefit obligation is highly sensitive to changes in these assumptions. All assumptions are reviewed at each reporting date. The calculation is most sensitive to changes in the discount rate and compensation increase.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Actuarial valuations of Pasqal’s benefit obligations were computed by management with assistance from external actuaries. The principal assumptions used are shown below:</w:t>
      </w:r>
    </w:p>
    <w:tbl>
      <w:tblPr>
        <w:tblW w:w="10205" w:type="dxa"/>
        <w:jc w:val="left"/>
        <w:tblInd w:w="0" w:type="dxa"/>
        <w:tblLayout w:type="fixed"/>
        <w:tblCellMar>
          <w:top w:w="0" w:type="dxa"/>
          <w:left w:w="0" w:type="dxa"/>
          <w:bottom w:w="0" w:type="dxa"/>
          <w:right w:w="0" w:type="dxa"/>
        </w:tblCellMar>
      </w:tblPr>
      <w:tblGrid>
        <w:gridCol w:w="1819"/>
        <w:gridCol w:w="146"/>
        <w:gridCol w:w="1433"/>
        <w:gridCol w:w="286"/>
        <w:gridCol w:w="146"/>
        <w:gridCol w:w="1272"/>
        <w:gridCol w:w="494"/>
        <w:gridCol w:w="146"/>
        <w:gridCol w:w="2190"/>
        <w:gridCol w:w="494"/>
        <w:gridCol w:w="146"/>
        <w:gridCol w:w="1633"/>
      </w:tblGrid>
      <w:tr>
        <w:trPr/>
        <w:tc>
          <w:tcPr>
            <w:tcW w:w="181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31"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France</w:t>
            </w:r>
          </w:p>
        </w:tc>
        <w:tc>
          <w:tcPr>
            <w:tcW w:w="146" w:type="dxa"/>
            <w:tcBorders/>
            <w:vAlign w:val="bottom"/>
          </w:tcPr>
          <w:p>
            <w:pPr>
              <w:pStyle w:val="TableContents"/>
              <w:bidi w:val="0"/>
              <w:spacing w:before="0" w:after="283"/>
              <w:jc w:val="left"/>
              <w:rPr/>
            </w:pPr>
            <w:r>
              <w:rPr/>
              <w:t> </w:t>
            </w:r>
          </w:p>
        </w:tc>
        <w:tc>
          <w:tcPr>
            <w:tcW w:w="446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Korea</w:t>
            </w:r>
          </w:p>
        </w:tc>
      </w:tr>
      <w:tr>
        <w:trPr/>
        <w:tc>
          <w:tcPr>
            <w:tcW w:w="181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actuarial assumptions</w:t>
            </w:r>
          </w:p>
        </w:tc>
        <w:tc>
          <w:tcPr>
            <w:tcW w:w="146" w:type="dxa"/>
            <w:tcBorders/>
            <w:vAlign w:val="bottom"/>
          </w:tcPr>
          <w:p>
            <w:pPr>
              <w:pStyle w:val="TableContents"/>
              <w:bidi w:val="0"/>
              <w:spacing w:before="0" w:after="283"/>
              <w:jc w:val="left"/>
              <w:rPr/>
            </w:pPr>
            <w:r>
              <w:rPr/>
              <w:t> </w:t>
            </w:r>
          </w:p>
        </w:tc>
        <w:tc>
          <w:tcPr>
            <w:tcW w:w="171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7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268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3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181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49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219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c>
          <w:tcPr>
            <w:tcW w:w="49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81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Rate of compensation increase </w:t>
              <w:br/>
              <w:t>(inflation included)</w:t>
            </w:r>
          </w:p>
        </w:tc>
        <w:tc>
          <w:tcPr>
            <w:tcW w:w="146" w:type="dxa"/>
            <w:tcBorders/>
            <w:vAlign w:val="bottom"/>
          </w:tcPr>
          <w:p>
            <w:pPr>
              <w:pStyle w:val="TableContents"/>
              <w:bidi w:val="0"/>
              <w:spacing w:before="0" w:after="283"/>
              <w:jc w:val="left"/>
              <w:rPr/>
            </w:pPr>
            <w:r>
              <w:rPr/>
              <w:t> </w:t>
            </w:r>
          </w:p>
        </w:tc>
        <w:tc>
          <w:tcPr>
            <w:tcW w:w="143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c>
          <w:tcPr>
            <w:tcW w:w="4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4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81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Rate of price inflation</w:t>
            </w:r>
          </w:p>
        </w:tc>
        <w:tc>
          <w:tcPr>
            <w:tcW w:w="14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81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Retirement age</w:t>
            </w:r>
          </w:p>
        </w:tc>
        <w:tc>
          <w:tcPr>
            <w:tcW w:w="146" w:type="dxa"/>
            <w:tcBorders/>
            <w:vAlign w:val="bottom"/>
          </w:tcPr>
          <w:p>
            <w:pPr>
              <w:pStyle w:val="TableContents"/>
              <w:bidi w:val="0"/>
              <w:spacing w:before="0" w:after="283"/>
              <w:jc w:val="left"/>
              <w:rPr/>
            </w:pPr>
            <w:r>
              <w:rPr/>
              <w:t> </w:t>
            </w:r>
          </w:p>
        </w:tc>
        <w:tc>
          <w:tcPr>
            <w:tcW w:w="14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 years</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 years</w:t>
            </w:r>
          </w:p>
        </w:tc>
        <w:tc>
          <w:tcPr>
            <w:tcW w:w="4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 years</w:t>
            </w:r>
          </w:p>
        </w:tc>
        <w:tc>
          <w:tcPr>
            <w:tcW w:w="4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81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Mortality table</w:t>
            </w:r>
          </w:p>
        </w:tc>
        <w:tc>
          <w:tcPr>
            <w:tcW w:w="14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INSEE TH/TF 18 – 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INSEE TH/TF 18 – 20</w:t>
            </w:r>
          </w:p>
        </w:tc>
        <w:tc>
          <w:tcPr>
            <w:tcW w:w="4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 tables 1970 – 2014 Korean Ministry of Data and Statistics</w:t>
            </w:r>
          </w:p>
        </w:tc>
        <w:tc>
          <w:tcPr>
            <w:tcW w:w="4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discount rate used was based on market rates for high-quality “AA” euro-denominated corporate bonds with a duration close to that of the expected benefit payments. The plan duration at the end of the reporting period is approximately 25 years.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discount rate was determined based on sovereign bond market rates with a duration close to that of the expected benefit payments. The plan duration is approximately 2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Employee benefit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Tables below reconcile Pasqal’s defined benefit obligations with the amounts recognized in the consolidated income statement and consolidated statement of financial position:</w:t>
      </w:r>
    </w:p>
    <w:tbl>
      <w:tblPr>
        <w:tblW w:w="7797" w:type="dxa"/>
        <w:jc w:val="left"/>
        <w:tblInd w:w="0" w:type="dxa"/>
        <w:tblLayout w:type="fixed"/>
        <w:tblCellMar>
          <w:top w:w="0" w:type="dxa"/>
          <w:left w:w="0" w:type="dxa"/>
          <w:bottom w:w="0" w:type="dxa"/>
          <w:right w:w="0" w:type="dxa"/>
        </w:tblCellMar>
      </w:tblPr>
      <w:tblGrid>
        <w:gridCol w:w="5791"/>
        <w:gridCol w:w="146"/>
        <w:gridCol w:w="1239"/>
        <w:gridCol w:w="621"/>
      </w:tblGrid>
      <w:tr>
        <w:trPr/>
        <w:tc>
          <w:tcPr>
            <w:tcW w:w="57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8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Defined benefit </w:t>
              <w:br/>
              <w:t>obligations</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Defined benefit obligation at January 01, 2024</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w:t>
            </w:r>
          </w:p>
        </w:tc>
        <w:tc>
          <w:tcPr>
            <w:tcW w:w="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service cost</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cost</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Actuarial (gains)/losses</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 curtailments</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6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Defined benefit obligation at December 31, 2024</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405</w:t>
            </w:r>
          </w:p>
        </w:tc>
        <w:tc>
          <w:tcPr>
            <w:tcW w:w="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service cost</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cost</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Actuarial (gains)/losses</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6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 curtailments</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6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Benefits paid</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6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adjustments</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6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Defined benefit obligation at December 31, 2025</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2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514</w:t>
            </w:r>
          </w:p>
        </w:tc>
        <w:tc>
          <w:tcPr>
            <w:tcW w:w="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Including a current portion of €6 thousand. Accordingly, the non-current</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portion presented within employee benefit liabilities in the statement of financial position amounts to €509 thousand as of December 31,2025.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amounts recognized respectively in the statement of profit or loss and in other comprehensive income:</w:t>
      </w:r>
    </w:p>
    <w:tbl>
      <w:tblPr>
        <w:tblW w:w="9714" w:type="dxa"/>
        <w:jc w:val="left"/>
        <w:tblInd w:w="0" w:type="dxa"/>
        <w:tblLayout w:type="fixed"/>
        <w:tblCellMar>
          <w:top w:w="0" w:type="dxa"/>
          <w:left w:w="0" w:type="dxa"/>
          <w:bottom w:w="0" w:type="dxa"/>
          <w:right w:w="0" w:type="dxa"/>
        </w:tblCellMar>
      </w:tblPr>
      <w:tblGrid>
        <w:gridCol w:w="6106"/>
        <w:gridCol w:w="146"/>
        <w:gridCol w:w="1175"/>
        <w:gridCol w:w="460"/>
        <w:gridCol w:w="146"/>
        <w:gridCol w:w="1681"/>
      </w:tblGrid>
      <w:tr>
        <w:trPr/>
        <w:tc>
          <w:tcPr>
            <w:tcW w:w="61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expense recognized in the statement of profit or loss</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4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r>
      <w:tr>
        <w:trPr/>
        <w:tc>
          <w:tcPr>
            <w:tcW w:w="6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recognized in other comprehensive income</w:t>
            </w:r>
          </w:p>
        </w:tc>
        <w:tc>
          <w:tcPr>
            <w:tcW w:w="146" w:type="dxa"/>
            <w:tcBorders/>
            <w:vAlign w:val="bottom"/>
          </w:tcPr>
          <w:p>
            <w:pPr>
              <w:pStyle w:val="TableContents"/>
              <w:bidi w:val="0"/>
              <w:spacing w:before="0" w:after="283"/>
              <w:jc w:val="left"/>
              <w:rPr/>
            </w:pPr>
            <w:r>
              <w:rPr/>
              <w:t> </w:t>
            </w:r>
          </w:p>
        </w:tc>
        <w:tc>
          <w:tcPr>
            <w:tcW w:w="1175"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46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quantitative sensitivity analysis for significant assumptions as of December 31, 2025, is shown below:</w:t>
      </w:r>
    </w:p>
    <w:tbl>
      <w:tblPr>
        <w:tblW w:w="10205" w:type="dxa"/>
        <w:jc w:val="left"/>
        <w:tblInd w:w="0" w:type="dxa"/>
        <w:tblLayout w:type="fixed"/>
        <w:tblCellMar>
          <w:top w:w="0" w:type="dxa"/>
          <w:left w:w="0" w:type="dxa"/>
          <w:bottom w:w="0" w:type="dxa"/>
          <w:right w:w="0" w:type="dxa"/>
        </w:tblCellMar>
      </w:tblPr>
      <w:tblGrid>
        <w:gridCol w:w="2391"/>
        <w:gridCol w:w="146"/>
        <w:gridCol w:w="1196"/>
        <w:gridCol w:w="599"/>
        <w:gridCol w:w="146"/>
        <w:gridCol w:w="1196"/>
        <w:gridCol w:w="599"/>
        <w:gridCol w:w="146"/>
        <w:gridCol w:w="1076"/>
        <w:gridCol w:w="719"/>
        <w:gridCol w:w="146"/>
        <w:gridCol w:w="1845"/>
      </w:tblGrid>
      <w:tr>
        <w:trPr/>
        <w:tc>
          <w:tcPr>
            <w:tcW w:w="23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36"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France</w:t>
            </w:r>
          </w:p>
        </w:tc>
        <w:tc>
          <w:tcPr>
            <w:tcW w:w="146" w:type="dxa"/>
            <w:tcBorders/>
            <w:vAlign w:val="bottom"/>
          </w:tcPr>
          <w:p>
            <w:pPr>
              <w:pStyle w:val="TableContents"/>
              <w:bidi w:val="0"/>
              <w:spacing w:before="0" w:after="283"/>
              <w:jc w:val="left"/>
              <w:rPr/>
            </w:pPr>
            <w:r>
              <w:rPr/>
              <w:t> </w:t>
            </w:r>
          </w:p>
        </w:tc>
        <w:tc>
          <w:tcPr>
            <w:tcW w:w="3786"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Korea</w:t>
            </w:r>
          </w:p>
        </w:tc>
      </w:tr>
      <w:tr>
        <w:trPr/>
        <w:tc>
          <w:tcPr>
            <w:tcW w:w="2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Changes in assumptions</w:t>
            </w:r>
          </w:p>
        </w:tc>
        <w:tc>
          <w:tcPr>
            <w:tcW w:w="146" w:type="dxa"/>
            <w:tcBorders/>
            <w:vAlign w:val="bottom"/>
          </w:tcPr>
          <w:p>
            <w:pPr>
              <w:pStyle w:val="TableContents"/>
              <w:bidi w:val="0"/>
              <w:spacing w:before="0" w:after="283"/>
              <w:jc w:val="left"/>
              <w:rPr/>
            </w:pPr>
            <w:r>
              <w:rPr/>
              <w:t> </w:t>
            </w:r>
          </w:p>
        </w:tc>
        <w:tc>
          <w:tcPr>
            <w:tcW w:w="17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defined benefit </w:t>
              <w:br/>
              <w:t xml:space="preserve">obligation – 2025 </w:t>
              <w:br/>
              <w:t>(in € thousand)</w:t>
            </w:r>
          </w:p>
        </w:tc>
        <w:tc>
          <w:tcPr>
            <w:tcW w:w="146" w:type="dxa"/>
            <w:tcBorders/>
            <w:vAlign w:val="bottom"/>
          </w:tcPr>
          <w:p>
            <w:pPr>
              <w:pStyle w:val="TableContents"/>
              <w:bidi w:val="0"/>
              <w:spacing w:before="0" w:after="283"/>
              <w:jc w:val="left"/>
              <w:rPr/>
            </w:pPr>
            <w:r>
              <w:rPr/>
              <w:t> </w:t>
            </w:r>
          </w:p>
        </w:tc>
        <w:tc>
          <w:tcPr>
            <w:tcW w:w="17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defined benefit </w:t>
              <w:br/>
              <w:t xml:space="preserve">obligation – 2024 </w:t>
              <w:br/>
              <w:t>(in € thousand)</w:t>
            </w:r>
          </w:p>
        </w:tc>
        <w:tc>
          <w:tcPr>
            <w:tcW w:w="146" w:type="dxa"/>
            <w:tcBorders/>
            <w:vAlign w:val="bottom"/>
          </w:tcPr>
          <w:p>
            <w:pPr>
              <w:pStyle w:val="TableContents"/>
              <w:bidi w:val="0"/>
              <w:spacing w:before="0" w:after="283"/>
              <w:jc w:val="left"/>
              <w:rPr/>
            </w:pPr>
            <w:r>
              <w:rPr/>
              <w:t> </w:t>
            </w:r>
          </w:p>
        </w:tc>
        <w:tc>
          <w:tcPr>
            <w:tcW w:w="17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defined benefit </w:t>
              <w:br/>
              <w:t xml:space="preserve">obligation – 2025 </w:t>
              <w:br/>
              <w:t>(in € thousand)</w:t>
            </w:r>
          </w:p>
        </w:tc>
        <w:tc>
          <w:tcPr>
            <w:tcW w:w="146" w:type="dxa"/>
            <w:tcBorders/>
            <w:vAlign w:val="bottom"/>
          </w:tcPr>
          <w:p>
            <w:pPr>
              <w:pStyle w:val="TableContents"/>
              <w:bidi w:val="0"/>
              <w:spacing w:before="0" w:after="283"/>
              <w:jc w:val="left"/>
              <w:rPr/>
            </w:pPr>
            <w:r>
              <w:rPr/>
              <w:t> </w:t>
            </w:r>
          </w:p>
        </w:tc>
        <w:tc>
          <w:tcPr>
            <w:tcW w:w="184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defined benefit </w:t>
              <w:br/>
              <w:t xml:space="preserve">obligation – 2024 </w:t>
              <w:br/>
              <w:t>(in € thousand)</w:t>
            </w:r>
          </w:p>
        </w:tc>
      </w:tr>
      <w:tr>
        <w:trPr/>
        <w:tc>
          <w:tcPr>
            <w:tcW w:w="2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45" w:type="dxa"/>
            <w:tcBorders/>
            <w:shd w:fill="CCEEFF" w:val="clear"/>
            <w:vAlign w:val="bottom"/>
          </w:tcPr>
          <w:p>
            <w:pPr>
              <w:pStyle w:val="TableContents"/>
              <w:bidi w:val="0"/>
              <w:spacing w:before="0" w:after="283"/>
              <w:jc w:val="left"/>
              <w:rPr/>
            </w:pPr>
            <w:r>
              <w:rPr/>
              <w:t> </w:t>
            </w:r>
          </w:p>
        </w:tc>
      </w:tr>
      <w:tr>
        <w:trPr/>
        <w:tc>
          <w:tcPr>
            <w:tcW w:w="2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5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5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2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5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5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2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increase</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left"/>
              <w:rPr/>
            </w:pPr>
            <w:r>
              <w:rPr/>
              <w:t> </w:t>
            </w:r>
          </w:p>
        </w:tc>
        <w:tc>
          <w:tcPr>
            <w:tcW w:w="5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left"/>
              <w:rPr/>
            </w:pPr>
            <w:r>
              <w:rPr/>
              <w:t> </w:t>
            </w:r>
          </w:p>
        </w:tc>
        <w:tc>
          <w:tcPr>
            <w:tcW w:w="5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 </w:t>
            </w:r>
          </w:p>
        </w:tc>
      </w:tr>
      <w:tr>
        <w:trPr/>
        <w:tc>
          <w:tcPr>
            <w:tcW w:w="2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5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2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5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5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sensitivity analyses are based on a change in a significant assumption, keeping all other assumptions constant. The sensitivity analyses may not be representative of an actual change in the defined benefit obligation as it is unlikely that changes in assumptions would occur in isolation from one another.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expected payments or contributions to the defined benefit plans over the next 5 years amount to €56 thousand.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Employee benefit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 Other employee benefit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MCF acquisition in 2022, a portion of the former shareholders’ remuneration was conditional upon their continued employment. As the contingency was linked to post-combination service, it was not part of the consideration transferred in the business combination. Instead, it is accounted for as deferred remuneration. The outstanding non-current portion as of December 31, 2024 was €288 thousand. As of December 31, 2025, this deferred remuneration is entirely classified as a current liability and is presented within current personnel-related liabilities (see Note 17 for further disclosure).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Share-based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policy for BSPCEs and options is disclosed in Note 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IFRS 2, SARs (Stock Appreciation Rights) granted to corporate officers, employees and service providers are recognized as employee expenses at a value equal to the instrument granted. SARs are cash-settled awards, resulting in recognition of a liability, as the settlement provided for in the contract is a repurchase by Pasqal (i.e., a cash settlement). The expense, corresponding to the difference between the fair value of the liability due to employees and service providers and the subscription price of the right, is measured on the grant date and allocated over the vesting period of the SARs (the period between the grant by the Chairman and the date on which the rights become exercisable), then revalued each financial year at the fair value of Group’s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4.5.3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r>
        <w:rPr>
          <w:rFonts w:ascii="Times New Roman PS Std;serif" w:hAnsi="Times New Roman PS Std;serif"/>
          <w:b/>
          <w:i/>
          <w:caps w:val="false"/>
          <w:smallCaps w:val="false"/>
          <w:sz w:val="20"/>
        </w:rPr>
        <w:t>.</w:t>
      </w:r>
      <w:r>
        <w:rPr>
          <w:rFonts w:ascii="Times New Roman PS Std;serif" w:hAnsi="Times New Roman PS Std;serif"/>
          <w:b/>
          <w:i w:val="false"/>
          <w:caps w:val="false"/>
          <w:smallCaps w:val="false"/>
          <w:sz w:val="20"/>
        </w:rPr>
        <w:t>1. Share-based payment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description of BSPCEs and options is provided in Note 9.</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employees that are not resident in France may be granted share appreciation rights (SARs), which are cash-settled instruments. Unlike equity instruments, SARs do not entitle the holder to shares. They operate as “phantom” awards used to determine a deferred cash bonus, the outcome of which results in a cash outflow for the company. Vesting of the SARs is based solely on the employee’s continued service with the Group for a period of ten years from the date of grant.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liability associated with these awards is measured both at initial recognition and at each reporting date until settlement, based on the fair value of the SARs, determined using a Monte-Carlo simulation model that reflects the terms of the grant and the extent of services rendered by employees. Several SAR plans have been granted by the Chairman between 2022 and 2025 as shown in the table below, with outstanding SARs at year-end reflecting the impact of cancellations and exercises that have occurred since the grant dates.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SARs allocated in previous financial years as of December 31, 2025:</w:t>
      </w:r>
    </w:p>
    <w:tbl>
      <w:tblPr>
        <w:tblW w:w="12924" w:type="dxa"/>
        <w:jc w:val="left"/>
        <w:tblInd w:w="0" w:type="dxa"/>
        <w:tblLayout w:type="fixed"/>
        <w:tblCellMar>
          <w:top w:w="0" w:type="dxa"/>
          <w:left w:w="0" w:type="dxa"/>
          <w:bottom w:w="0" w:type="dxa"/>
          <w:right w:w="0" w:type="dxa"/>
        </w:tblCellMar>
      </w:tblPr>
      <w:tblGrid>
        <w:gridCol w:w="1256"/>
        <w:gridCol w:w="146"/>
        <w:gridCol w:w="1541"/>
        <w:gridCol w:w="146"/>
        <w:gridCol w:w="946"/>
        <w:gridCol w:w="146"/>
        <w:gridCol w:w="1291"/>
        <w:gridCol w:w="146"/>
        <w:gridCol w:w="1291"/>
        <w:gridCol w:w="146"/>
        <w:gridCol w:w="1051"/>
        <w:gridCol w:w="146"/>
        <w:gridCol w:w="1051"/>
        <w:gridCol w:w="146"/>
        <w:gridCol w:w="1306"/>
        <w:gridCol w:w="146"/>
        <w:gridCol w:w="295"/>
        <w:gridCol w:w="651"/>
        <w:gridCol w:w="146"/>
        <w:gridCol w:w="931"/>
      </w:tblGrid>
      <w:tr>
        <w:trPr/>
        <w:tc>
          <w:tcPr>
            <w:tcW w:w="1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date by the </w:t>
              <w:br/>
              <w:t>Chairman</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outstanding</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price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SAR 2022</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 2022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103,500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SAR 2023</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26, 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11,500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06_2024</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12, 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52,763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17,749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17,763</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17,251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35,512</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10_2024</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2,660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04_2025</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15, 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Aeponyx</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15, 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2025</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15, 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3 to 4 years</w:t>
            </w:r>
            <w:r>
              <w:rPr>
                <w:rFonts w:ascii="Times New Roman PS Std;serif" w:hAnsi="Times New Roman PS Std;serif"/>
                <w:b w:val="false"/>
                <w:i w:val="false"/>
                <w:caps w:val="false"/>
                <w:smallCaps w:val="false"/>
                <w:sz w:val="12"/>
              </w:rPr>
              <w:t>(2)</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2025</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266,243</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125,529</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72,003</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66,811</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1,900</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197,532</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Share-based payments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SARs allocated in previous financial years as of December 31, 2024:</w:t>
      </w:r>
    </w:p>
    <w:tbl>
      <w:tblPr>
        <w:tblW w:w="12924" w:type="dxa"/>
        <w:jc w:val="left"/>
        <w:tblInd w:w="0" w:type="dxa"/>
        <w:tblLayout w:type="fixed"/>
        <w:tblCellMar>
          <w:top w:w="0" w:type="dxa"/>
          <w:left w:w="0" w:type="dxa"/>
          <w:bottom w:w="0" w:type="dxa"/>
          <w:right w:w="0" w:type="dxa"/>
        </w:tblCellMar>
      </w:tblPr>
      <w:tblGrid>
        <w:gridCol w:w="1256"/>
        <w:gridCol w:w="146"/>
        <w:gridCol w:w="1541"/>
        <w:gridCol w:w="146"/>
        <w:gridCol w:w="946"/>
        <w:gridCol w:w="146"/>
        <w:gridCol w:w="1291"/>
        <w:gridCol w:w="146"/>
        <w:gridCol w:w="1291"/>
        <w:gridCol w:w="146"/>
        <w:gridCol w:w="1051"/>
        <w:gridCol w:w="146"/>
        <w:gridCol w:w="1051"/>
        <w:gridCol w:w="146"/>
        <w:gridCol w:w="1306"/>
        <w:gridCol w:w="146"/>
        <w:gridCol w:w="295"/>
        <w:gridCol w:w="651"/>
        <w:gridCol w:w="146"/>
        <w:gridCol w:w="931"/>
      </w:tblGrid>
      <w:tr>
        <w:trPr/>
        <w:tc>
          <w:tcPr>
            <w:tcW w:w="1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date by the </w:t>
              <w:br/>
              <w:t>Chairman</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outstanding</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price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SAR 2022</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 2022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105,500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SAR 2023</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26, 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3,950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7,550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06_2024</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12, 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52,763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6,559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28,953</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51,803</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10_2024</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2024</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220,743</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95,609</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56,423</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41,560</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177,283</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number of SARs has been multiplied by 100 following the 100-for-1 stock split decided by unanimous decision of the shareholders on June 12,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Depending on the individual grant terms applicable to each beneficiary.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the SAR plans as cash-settled plans.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14.2. IFRS 2 expense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expense recognized over the periods for share-based payment transactions amounted to €13,872 thousand and €2,777 thousand for the years ended December 31, 2025 and December 31, 2024, respectively.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breakdown of this expense by plan is shown in the following table:</w:t>
      </w:r>
    </w:p>
    <w:tbl>
      <w:tblPr>
        <w:tblW w:w="4105" w:type="dxa"/>
        <w:jc w:val="left"/>
        <w:tblInd w:w="0" w:type="dxa"/>
        <w:tblLayout w:type="fixed"/>
        <w:tblCellMar>
          <w:top w:w="0" w:type="dxa"/>
          <w:left w:w="0" w:type="dxa"/>
          <w:bottom w:w="0" w:type="dxa"/>
          <w:right w:w="0" w:type="dxa"/>
        </w:tblCellMar>
      </w:tblPr>
      <w:tblGrid>
        <w:gridCol w:w="2071"/>
        <w:gridCol w:w="146"/>
        <w:gridCol w:w="916"/>
        <w:gridCol w:w="146"/>
        <w:gridCol w:w="826"/>
      </w:tblGrid>
      <w:tr>
        <w:trPr/>
        <w:tc>
          <w:tcPr>
            <w:tcW w:w="20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9,069</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option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 share plan</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SAR</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13,872</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2,777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portion of this expense recognized against equity amounted to €9,475 thousand and was recorded within other reserves, whereas the portion recognized against liability amounted to €4,396 thousand and was recognized under employee benefit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IFRS 2 expense to be recognized in future financial years breaks down as follows:</w:t>
      </w:r>
    </w:p>
    <w:tbl>
      <w:tblPr>
        <w:tblW w:w="3418" w:type="dxa"/>
        <w:jc w:val="left"/>
        <w:tblInd w:w="0" w:type="dxa"/>
        <w:tblLayout w:type="fixed"/>
        <w:tblCellMar>
          <w:top w:w="0" w:type="dxa"/>
          <w:left w:w="0" w:type="dxa"/>
          <w:bottom w:w="0" w:type="dxa"/>
          <w:right w:w="0" w:type="dxa"/>
        </w:tblCellMar>
      </w:tblPr>
      <w:tblGrid>
        <w:gridCol w:w="1591"/>
        <w:gridCol w:w="146"/>
        <w:gridCol w:w="1681"/>
      </w:tblGrid>
      <w:tr>
        <w:trPr/>
        <w:tc>
          <w:tcPr>
            <w:tcW w:w="1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8,449</w:t>
            </w:r>
          </w:p>
        </w:tc>
      </w:tr>
      <w:tr>
        <w:trPr/>
        <w:tc>
          <w:tcPr>
            <w:tcW w:w="1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3,289</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r>
      <w:tr>
        <w:trPr/>
        <w:tc>
          <w:tcPr>
            <w:tcW w:w="1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12,816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expense to be recognized in future financial years by plan is broken down as follows:</w:t>
      </w:r>
    </w:p>
    <w:tbl>
      <w:tblPr>
        <w:tblW w:w="3898" w:type="dxa"/>
        <w:jc w:val="left"/>
        <w:tblInd w:w="0" w:type="dxa"/>
        <w:tblLayout w:type="fixed"/>
        <w:tblCellMar>
          <w:top w:w="0" w:type="dxa"/>
          <w:left w:w="0" w:type="dxa"/>
          <w:bottom w:w="0" w:type="dxa"/>
          <w:right w:w="0" w:type="dxa"/>
        </w:tblCellMar>
      </w:tblPr>
      <w:tblGrid>
        <w:gridCol w:w="2071"/>
        <w:gridCol w:w="146"/>
        <w:gridCol w:w="1681"/>
      </w:tblGrid>
      <w:tr>
        <w:trPr/>
        <w:tc>
          <w:tcPr>
            <w:tcW w:w="20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11,324</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option</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 share plan</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SAR</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12,816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Share-based payments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inputs were used in the valuation of the equity-settled plans granted during 2025 and the cash-settled plans, for the year ended December 31, 2025:</w:t>
      </w:r>
    </w:p>
    <w:tbl>
      <w:tblPr>
        <w:tblW w:w="4993" w:type="dxa"/>
        <w:jc w:val="left"/>
        <w:tblInd w:w="0" w:type="dxa"/>
        <w:tblLayout w:type="fixed"/>
        <w:tblCellMar>
          <w:top w:w="0" w:type="dxa"/>
          <w:left w:w="0" w:type="dxa"/>
          <w:bottom w:w="0" w:type="dxa"/>
          <w:right w:w="0" w:type="dxa"/>
        </w:tblCellMar>
      </w:tblPr>
      <w:tblGrid>
        <w:gridCol w:w="3031"/>
        <w:gridCol w:w="146"/>
        <w:gridCol w:w="1816"/>
      </w:tblGrid>
      <w:tr>
        <w:trPr/>
        <w:tc>
          <w:tcPr>
            <w:tcW w:w="30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Assumption</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 – 2.6%</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 – 188.0%</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exit horizon</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 – 4.2 years</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underlying share</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56.39 – €95.18</w:t>
            </w:r>
          </w:p>
        </w:tc>
      </w:tr>
    </w:tbl>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Risk-free rate:    the risk-free rate applied in the valuation corresponds to the yield on French government bonds, using a maturity consistent with the expected exit horizon.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Volatility analysis:    the volatility assumption is derived from the observed share-price volatility of publicly listed companies operating in an industry comparable to Pasqal. The selected volatilities are measured over periods aligned with the various exit scenarios considered. Volatility is calculated on a weekly basis and subsequently annualized.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Exit date assumption:    a probabilistic distribution of potential exit dates is applied.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Fair value of the underlying share:    The valuation of the common shares is indirectly derived from the overall valuation of the Group. The total equity value is projected using a Monte Carlo simulation, incorporating assumptions regarding share price volatility and the expected timing of an exit event (based on the same assumptions as those used as inputs for the options).</w:t>
      </w:r>
    </w:p>
    <w:p>
      <w:pPr>
        <w:pStyle w:val="TextBody"/>
        <w:keepNext w:val="false"/>
        <w:pageBreakBefore w:val="false"/>
        <w:widowControl/>
        <w:pBdr/>
        <w:bidi w:val="0"/>
        <w:spacing w:before="14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each simulated exit scenario, the corresponding equity value is allocated across the various classes of shares in accordance with their respective economic rights. The fair value of Pasqal’s common shares is therefore determined as the average of the simulated values attributable to common shares, discounted at the risk-free rate.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assumptions are not necessarily indicative of exercise patterns that may occur.</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Deferred income from government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grants are recognized where there is reasonable assurance that the grant will be received and all attached conditions will be complied with. When the grant relates to an expense item, it is recognized as income on a systematic basis over the periods that the related costs, for which it is intended to compensate, are expensed. When the grant relates to an asset, it is recognized as income in equal amounts over the expected useful life of the related asset.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benefits from the following investment grants awarded by the French State and its operators to support its research, development, and industrial deployment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An amount of €2,828 thousand was awarded under the French </w:t>
      </w:r>
      <w:r>
        <w:rPr>
          <w:rFonts w:ascii="Times New Roman PS Std;serif" w:hAnsi="Times New Roman PS Std;serif"/>
          <w:b w:val="false"/>
          <w:i/>
          <w:caps w:val="false"/>
          <w:smallCaps w:val="false"/>
          <w:sz w:val="20"/>
        </w:rPr>
        <w:t>Plan de Relance and the Programme d’Investissements d’Avenir</w:t>
      </w:r>
      <w:r>
        <w:rPr>
          <w:rFonts w:ascii="Times New Roman PS Std;serif" w:hAnsi="Times New Roman PS Std;serif"/>
          <w:b w:val="false"/>
          <w:i w:val="false"/>
          <w:caps w:val="false"/>
          <w:smallCaps w:val="false"/>
          <w:sz w:val="20"/>
        </w:rPr>
        <w:t>, operated by Bpifrance S.A., to support the CEPREQ project, which aimed to develop the Group’s first industrial production line for quantum processors and establish a dedicated R&amp;D center in Massy (France).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 received €2,495 thousand in public funding from the European Commission under the Horizon 2020 EIC Accelerator program, supporting the development and industrialization of its next-generation neutral-atom quantum processing units, the “Fresnel QPU”.</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Pasqal was awarded a public funding of €1,269 thousand under the French </w:t>
      </w:r>
      <w:r>
        <w:rPr>
          <w:rFonts w:ascii="Times New Roman PS Std;serif" w:hAnsi="Times New Roman PS Std;serif"/>
          <w:b w:val="false"/>
          <w:i/>
          <w:caps w:val="false"/>
          <w:smallCaps w:val="false"/>
          <w:sz w:val="20"/>
        </w:rPr>
        <w:t>Concours d’Innovation</w:t>
      </w:r>
      <w:r>
        <w:rPr>
          <w:rFonts w:ascii="Times New Roman PS Std;serif" w:hAnsi="Times New Roman PS Std;serif"/>
          <w:b w:val="false"/>
          <w:i w:val="false"/>
          <w:caps w:val="false"/>
          <w:smallCaps w:val="false"/>
          <w:sz w:val="20"/>
        </w:rPr>
        <w:t xml:space="preserve"> i-Nov, managed by Bpifrance S.A. The supported program aims to design an architecture capable of significantly increasing the computational repetition rate of the Group’s quantum processors.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15. Deferred income from government grants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 received €1,234 thousand in public funding under the French France 2030 framework, as part of the i-Demo n°1 call for projects. The funded program focuses on developing innovative laser sources for next-generation neutral-atom quantum computers and integrating them into an advanced demonstrator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 was awarded €2,209 thousand for PASQUOPS (2025 – 2028), a Franco-German project coordinated by Pasqal and supported by national innovation agencies. With a total budget of €3,726 thousand, the project brings together six partners to advance scalable, fault-tolerant quantum computing on neutral-atom platforms by improving qubit and gate performance, reducing logical-operation resource requirements, and identifying high-impact real-world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also receives several income-related grants, the most significant of which comes from the European Innovation Council (EIC) to support the PANDA project (Photon-Atom Non-linearities and Deterministic Applications). This initiative is the result of a collaboration between five partners, combining both academic and industrial expertise, with the shared objective of fostering innovation and advancing scientific research. The PANDA project aims to lay the foundations for a future photonic quantum computer, by exploring and developing technologies based on photon — atom nonlinear interactions.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Group entered into a cash grant agreement with the Korean Government. The grant is subject to compliance with specific conditions, including the execution of committed investment expenditures, the achievement of employment targets and the use of the funds in accordance with eligible cost categories. Non-compliance with these conditions could result in the reduction, suspension or repayment of the grant, together with potential penalties or interest. This grant is allocated between asset-related and income-related components based on the nature of the underlying eligible expenditures. As of 31 December 2025, the conditions attached to the grant had not yet been fulfilled. Accordingly, the amounts received have been recognized as deferred income from government grants and will be recognized in profit or loss as and when the related conditions are satisfied.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Breakdown of deferred income from government grants is as follows:</w:t>
      </w:r>
    </w:p>
    <w:tbl>
      <w:tblPr>
        <w:tblW w:w="9190" w:type="dxa"/>
        <w:jc w:val="left"/>
        <w:tblInd w:w="0" w:type="dxa"/>
        <w:tblLayout w:type="fixed"/>
        <w:tblCellMar>
          <w:top w:w="0" w:type="dxa"/>
          <w:left w:w="0" w:type="dxa"/>
          <w:bottom w:w="0" w:type="dxa"/>
          <w:right w:w="0" w:type="dxa"/>
        </w:tblCellMar>
      </w:tblPr>
      <w:tblGrid>
        <w:gridCol w:w="5581"/>
        <w:gridCol w:w="146"/>
        <w:gridCol w:w="1636"/>
        <w:gridCol w:w="146"/>
        <w:gridCol w:w="1681"/>
      </w:tblGrid>
      <w:tr>
        <w:trPr/>
        <w:tc>
          <w:tcPr>
            <w:tcW w:w="55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 – non-current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9,484</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4,683</w:t>
            </w:r>
          </w:p>
        </w:tc>
      </w:tr>
      <w:tr>
        <w:trPr/>
        <w:tc>
          <w:tcPr>
            <w:tcW w:w="5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 – current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w:t>
            </w:r>
          </w:p>
        </w:tc>
      </w:tr>
      <w:tr>
        <w:trPr/>
        <w:tc>
          <w:tcPr>
            <w:tcW w:w="5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income from Government grants</w:t>
            </w:r>
          </w:p>
        </w:tc>
        <w:tc>
          <w:tcPr>
            <w:tcW w:w="146" w:type="dxa"/>
            <w:tcBorders/>
            <w:shd w:fill="CCEEFF" w:val="clear"/>
            <w:vAlign w:val="bottom"/>
          </w:tcPr>
          <w:p>
            <w:pPr>
              <w:pStyle w:val="TableContents"/>
              <w:bidi w:val="0"/>
              <w:spacing w:before="0" w:after="283"/>
              <w:jc w:val="left"/>
              <w:rPr/>
            </w:pPr>
            <w:r>
              <w:rPr/>
              <w:t> </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16,893</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10,014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deferred income from government grants mainly includes: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2,209 thousand related to Pasquops, recognized as non-current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1,331 thousand related to EIC Accelerator program, of which €832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1,269 thousand related to i-Nov, recognized as non-current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1,111 thousand related to i-Demo, of which €864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998 thousand related to Panda, recorded as 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865 thousand related to CEPREQ, of which €539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4,106 thousand related to the grant component of the BPI, Pasqal Canada Investissement Québec and IFA loans, classified as 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2,832 thousand related to the Korean grant, of which €1,982 thousand is classified as non-current.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Contract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movements during the period</w:t>
      </w:r>
    </w:p>
    <w:tbl>
      <w:tblPr>
        <w:tblW w:w="5999" w:type="dxa"/>
        <w:jc w:val="left"/>
        <w:tblInd w:w="0" w:type="dxa"/>
        <w:tblLayout w:type="fixed"/>
        <w:tblCellMar>
          <w:top w:w="0" w:type="dxa"/>
          <w:left w:w="0" w:type="dxa"/>
          <w:bottom w:w="0" w:type="dxa"/>
          <w:right w:w="0" w:type="dxa"/>
        </w:tblCellMar>
      </w:tblPr>
      <w:tblGrid>
        <w:gridCol w:w="4651"/>
        <w:gridCol w:w="146"/>
        <w:gridCol w:w="916"/>
        <w:gridCol w:w="286"/>
      </w:tblGrid>
      <w:tr>
        <w:trPr/>
        <w:tc>
          <w:tcPr>
            <w:tcW w:w="46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 </w:t>
              <w:br/>
              <w:t>liabilities</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Billings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increase(1)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release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December 31,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Billings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increase(1)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release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22,977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accretion reflects the unwinding of discount related to significant financing component identified under IFRS 15.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the increase mainly reflects the timing difference between the Group’s billing schedule and the satisfaction of its performance obligations, notably with respect to amounts invoiced under Cineca (€5,345 thousand), DistriQ (€2,981 thousand), Julich (€440 thousand) and Genci contracts (€408 thousand). In 2024, increases mainly reflected advances received from Saudi Arabian Oil Company (€9,038 thousand), DGA (€1,800 thousand), GENCI (€1,640 thousand) and Julich (€1,062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revenue recognized from the release of contract liabilities amounted to €6,127 thousand (in 2024: nil) following the commissioning of the QPUs on the Genci and Julich contracts, as the related performance obligations were satisfied. See Note 19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contracts contain a significant financing component within the meaning of IFRS 15. In accordance with IFRS 15, related contract liabilities are accreted using the Group’s incremental borrowing rate determined at contract inception. The incremental borrowing rates applied ranged from 22.14% to 23.13%.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accretion period corresponds to the period between receipt of customer advances and satisfaction of the related performance obligations and generally ranged from 22 to 36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recognized in respect of the significant financing component amounted to €2,718 thousand for the year ended December 31, 2025 and €1,740 thousand for the year ended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accretion effects relating to the Genci and Julich contracts were released to revenue for an amount of €1,667 thousand, following the commissioning of the QPUs and the satisfaction of the related performance obligations (in 2024: nil). See Note 24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applies the IFRS 15 one-year practical expedient and therefore does not recognize a significant financing component when the period between payment and the transfer of goods or services is one year or less.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17. Other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breakdown of other non-current and current liabilities is shown in the table below:</w:t>
      </w:r>
    </w:p>
    <w:tbl>
      <w:tblPr>
        <w:tblW w:w="9310" w:type="dxa"/>
        <w:jc w:val="left"/>
        <w:tblInd w:w="0" w:type="dxa"/>
        <w:tblLayout w:type="fixed"/>
        <w:tblCellMar>
          <w:top w:w="0" w:type="dxa"/>
          <w:left w:w="0" w:type="dxa"/>
          <w:bottom w:w="0" w:type="dxa"/>
          <w:right w:w="0" w:type="dxa"/>
        </w:tblCellMar>
      </w:tblPr>
      <w:tblGrid>
        <w:gridCol w:w="5701"/>
        <w:gridCol w:w="146"/>
        <w:gridCol w:w="1636"/>
        <w:gridCol w:w="146"/>
        <w:gridCol w:w="1681"/>
      </w:tblGrid>
      <w:tr>
        <w:trPr/>
        <w:tc>
          <w:tcPr>
            <w:tcW w:w="5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9,556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6,607</w:t>
            </w:r>
          </w:p>
        </w:tc>
      </w:tr>
      <w:tr>
        <w:trPr/>
        <w:tc>
          <w:tcPr>
            <w:tcW w:w="5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Personnel-related liabilities(1)</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5,028</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3,166</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payables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2,688</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15,678</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6,475</w:t>
            </w:r>
          </w:p>
        </w:tc>
      </w:tr>
      <w:tr>
        <w:trPr/>
        <w:tc>
          <w:tcPr>
            <w:tcW w:w="57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contingent consideration financial liability(2)</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14,913</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14,913</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25,235</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27,995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Including MCF former shareholders’ deferred remuneration for €403 thousand. See Note 13.2 for further disclosures.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(2)      The contingent consideration financial liability arose from the acquisition of Aeponyx completed in 2024 and comprised the issuance of 51,923 Exchangeable Shares and 55,384 Milestone Shares of Pasqal SAS, the Milestone Shares being subject to the achievement of specified operational performance milestones on or before August 1, 2026.</w:t>
      </w:r>
      <w:r>
        <w:rPr>
          <w:rFonts w:ascii="Times New Roman PS Std;serif" w:hAnsi="Times New Roman PS Std;serif"/>
          <w:b w:val="false"/>
          <w:i w:val="false"/>
          <w:caps w:val="false"/>
          <w:smallCaps w:val="false"/>
          <w:sz w:val="18"/>
        </w:rPr>
        <w:t> </w:t>
      </w:r>
      <w:r>
        <w:rPr>
          <w:rFonts w:ascii="Times New Roman PS Std;serif" w:hAnsi="Times New Roman PS Std;serif"/>
          <w:b w:val="false"/>
          <w:i/>
          <w:caps w:val="false"/>
          <w:smallCaps w:val="false"/>
          <w:sz w:val="18"/>
        </w:rPr>
        <w:t>The contingent consideration was initially recognized as a financial liability in accordance with IAS 32, as settlement was expected to occur through the issuance of a variable number of Pasqal shares and therefore did not meet the fixed-for-fixed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criterion for equity classification. On December 16, 2025, the exchange ratio applicable to the Exchangeable and Milestone Shares became contractually fixed. As this portion of the contingent consideration no longer met the definition of a financial liability under IAS 32, the Group recognized the related instrument within equity for an amount of €14,839 thousand, corresponding to its fair value at the reclassification date (see Note 9.3). The related financial liability was measured at fair value of €14,913 thousand as of December 31, 2024. Refer to Note 18 for fair value measurement disclosures and to Note 33 for the prior period revision related to the initial recognition of this liability.</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18. Fair value measurement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measures financial instruments at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principal market for the asset or liability;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absence of a principal market, in the most advantageous market for the asset or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or the most advantageous market must be accessible by the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an asset or a liability is measured using the assumptions that market participants would use when pricing the asset or liability, assuming that market participants act in their economic best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valuation techniques that are appropriate in the circumstances and for which sufficient data are available to measure fair value, maximizing the use of relevant observable inputs and minimizing the use of unobservable inputs.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18. Fair value measurement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Quoted (unadjusted) market prices in active markets for identical assets or liabilities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Valuation techniques for which the lowest level input that is significant to the fair value measurement is directly or indirectly observable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Valuation techniques for which the lowest level input that is significant to the fair value measurement is unobservable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assets and liabilities that are recognized in the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experts are involved for fair valuation.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assesses that the fair values of cash, trade receivables, trade payables and other current financial assets and liabilities approximate their carrying amounts largely due to the short-term maturities of these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fair values of financial assets and financial liabilities recorded in the statement of financial position cannot be measured based on quoted prices in active markets, their fair value is measured using valuation techniques. A degree of judgement is required in establishing fair values. Related changes in assumptions could affect the reported fair value of financial instruments.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Contingent consideration — Aeponyx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contingent consideration related to the acquisition of Aeponyx is measured at fair value using a probability-weighted valuation model based on the estimated number of Milestone Shares expected to be issued and the reference share price of Pasqal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valuation incorporates contractual settlement scenarios and management’s assessment of the probability of achievement of the operational and performance milestones. The valuation was supported by an external valuation specialist.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unobservable inputs used in the valuation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reference share price of Pasqal SAS;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estimated number of Milestone Shares expected to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probability of achievement of the operational and performance milestones;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settlement mechanics and applicable exchange ratio scenarios;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discount rate reflecting the time value of money and the credit risk associated with the instrument.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related financial liability was classified within non-current liabilities as of December 31, 2024. As of December 31, 2025, the fixed Exchangeable and Milestone Shares were recognized within equity following the determination of the exchange ratio upon completion of the Series C financing.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18. Fair value measurement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movements in the fair value of the contingent consideration during the period were as follows:</w:t>
      </w:r>
    </w:p>
    <w:tbl>
      <w:tblPr>
        <w:tblW w:w="10205" w:type="dxa"/>
        <w:jc w:val="left"/>
        <w:tblInd w:w="0" w:type="dxa"/>
        <w:tblLayout w:type="fixed"/>
        <w:tblCellMar>
          <w:top w:w="0" w:type="dxa"/>
          <w:left w:w="0" w:type="dxa"/>
          <w:bottom w:w="0" w:type="dxa"/>
          <w:right w:w="0" w:type="dxa"/>
        </w:tblCellMar>
      </w:tblPr>
      <w:tblGrid>
        <w:gridCol w:w="4597"/>
        <w:gridCol w:w="146"/>
        <w:gridCol w:w="916"/>
        <w:gridCol w:w="241"/>
        <w:gridCol w:w="146"/>
        <w:gridCol w:w="4159"/>
      </w:tblGrid>
      <w:tr>
        <w:trPr/>
        <w:tc>
          <w:tcPr>
            <w:tcW w:w="4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Movement (in € thousand)</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 P&amp;L line</w:t>
            </w:r>
          </w:p>
        </w:tc>
      </w:tr>
      <w:tr>
        <w:trPr/>
        <w:tc>
          <w:tcPr>
            <w:tcW w:w="4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Initial recognition at acquisition date (July 29,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r>
        <w:trPr/>
        <w:tc>
          <w:tcPr>
            <w:tcW w:w="4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remeasurement 2024</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w:t>
            </w:r>
          </w:p>
        </w:tc>
      </w:tr>
      <w:tr>
        <w:trPr/>
        <w:tc>
          <w:tcPr>
            <w:tcW w:w="4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2024 (non-current)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r>
        <w:trPr/>
        <w:tc>
          <w:tcPr>
            <w:tcW w:w="4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fixed Exchangeable Shares within equity</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r>
        <w:trPr/>
        <w:tc>
          <w:tcPr>
            <w:tcW w:w="4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fixed Milestone Shares within equity</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59" w:type="dxa"/>
            <w:tcBorders/>
            <w:shd w:fill="CCEEFF" w:val="clear"/>
            <w:vAlign w:val="bottom"/>
          </w:tcPr>
          <w:p>
            <w:pPr>
              <w:pStyle w:val="TableContents"/>
              <w:bidi w:val="0"/>
              <w:spacing w:before="0" w:after="283"/>
              <w:jc w:val="left"/>
              <w:rPr/>
            </w:pPr>
            <w:r>
              <w:rPr/>
              <w:t> </w:t>
            </w:r>
          </w:p>
        </w:tc>
      </w:tr>
      <w:tr>
        <w:trPr/>
        <w:tc>
          <w:tcPr>
            <w:tcW w:w="4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remeasurement 2025</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r>
      <w:tr>
        <w:trPr/>
        <w:tc>
          <w:tcPr>
            <w:tcW w:w="4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Unwinding of discount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r>
      <w:tr>
        <w:trPr/>
        <w:tc>
          <w:tcPr>
            <w:tcW w:w="4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Remaining balance at December 31, 2025 (current)</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the fair value measurement hierarchy of the Group’s financial assets and liabilities:</w:t>
      </w:r>
    </w:p>
    <w:tbl>
      <w:tblPr>
        <w:tblW w:w="11647" w:type="dxa"/>
        <w:jc w:val="left"/>
        <w:tblInd w:w="0" w:type="dxa"/>
        <w:tblLayout w:type="fixed"/>
        <w:tblCellMar>
          <w:top w:w="0" w:type="dxa"/>
          <w:left w:w="0" w:type="dxa"/>
          <w:bottom w:w="0" w:type="dxa"/>
          <w:right w:w="0" w:type="dxa"/>
        </w:tblCellMar>
      </w:tblPr>
      <w:tblGrid>
        <w:gridCol w:w="1246"/>
        <w:gridCol w:w="146"/>
        <w:gridCol w:w="901"/>
        <w:gridCol w:w="146"/>
        <w:gridCol w:w="1186"/>
        <w:gridCol w:w="146"/>
        <w:gridCol w:w="1098"/>
        <w:gridCol w:w="328"/>
        <w:gridCol w:w="146"/>
        <w:gridCol w:w="1081"/>
        <w:gridCol w:w="146"/>
        <w:gridCol w:w="901"/>
        <w:gridCol w:w="146"/>
        <w:gridCol w:w="1186"/>
        <w:gridCol w:w="146"/>
        <w:gridCol w:w="1064"/>
        <w:gridCol w:w="362"/>
        <w:gridCol w:w="146"/>
        <w:gridCol w:w="1126"/>
      </w:tblGrid>
      <w:tr>
        <w:trPr/>
        <w:tc>
          <w:tcPr>
            <w:tcW w:w="124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 € thousand</w:t>
            </w:r>
          </w:p>
        </w:tc>
        <w:tc>
          <w:tcPr>
            <w:tcW w:w="146" w:type="dxa"/>
            <w:vMerge w:val="restart"/>
            <w:tcBorders/>
            <w:vAlign w:val="bottom"/>
          </w:tcPr>
          <w:p>
            <w:pPr>
              <w:pStyle w:val="TableContents"/>
              <w:bidi w:val="0"/>
              <w:spacing w:before="0" w:after="283"/>
              <w:jc w:val="left"/>
              <w:rPr/>
            </w:pPr>
            <w:r>
              <w:rPr/>
              <w:t> </w:t>
            </w:r>
          </w:p>
        </w:tc>
        <w:tc>
          <w:tcPr>
            <w:tcW w:w="503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2025</w:t>
            </w:r>
          </w:p>
        </w:tc>
        <w:tc>
          <w:tcPr>
            <w:tcW w:w="146" w:type="dxa"/>
            <w:tcBorders/>
            <w:vAlign w:val="bottom"/>
          </w:tcPr>
          <w:p>
            <w:pPr>
              <w:pStyle w:val="TableContents"/>
              <w:bidi w:val="0"/>
              <w:spacing w:before="0" w:after="283"/>
              <w:jc w:val="left"/>
              <w:rPr/>
            </w:pPr>
            <w:r>
              <w:rPr/>
              <w:t> </w:t>
            </w:r>
          </w:p>
        </w:tc>
        <w:tc>
          <w:tcPr>
            <w:tcW w:w="5077"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2024</w:t>
            </w:r>
          </w:p>
        </w:tc>
      </w:tr>
      <w:tr>
        <w:trPr/>
        <w:tc>
          <w:tcPr>
            <w:tcW w:w="12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03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Fair value measurement using</w:t>
            </w:r>
          </w:p>
        </w:tc>
        <w:tc>
          <w:tcPr>
            <w:tcW w:w="146" w:type="dxa"/>
            <w:tcBorders/>
            <w:vAlign w:val="bottom"/>
          </w:tcPr>
          <w:p>
            <w:pPr>
              <w:pStyle w:val="TableContents"/>
              <w:bidi w:val="0"/>
              <w:spacing w:before="0" w:after="283"/>
              <w:jc w:val="left"/>
              <w:rPr/>
            </w:pPr>
            <w:r>
              <w:rPr/>
              <w:t> </w:t>
            </w:r>
          </w:p>
        </w:tc>
        <w:tc>
          <w:tcPr>
            <w:tcW w:w="5077"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Fair value measurement using</w:t>
            </w:r>
          </w:p>
        </w:tc>
      </w:tr>
      <w:tr>
        <w:trPr/>
        <w:tc>
          <w:tcPr>
            <w:tcW w:w="12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Quoted </w:t>
              <w:br/>
              <w:t xml:space="preserve">prices </w:t>
              <w:br/>
              <w:t xml:space="preserve">in active </w:t>
              <w:br/>
              <w:t xml:space="preserve">markets </w:t>
              <w:br/>
              <w:t>(Level 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Significant </w:t>
              <w:br/>
              <w:t xml:space="preserve">observable </w:t>
              <w:br/>
              <w:t xml:space="preserve">inputs </w:t>
              <w:br/>
              <w:t>(Level 2)</w:t>
            </w:r>
          </w:p>
        </w:tc>
        <w:tc>
          <w:tcPr>
            <w:tcW w:w="146"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Significant </w:t>
              <w:br/>
              <w:t xml:space="preserve">unobservable </w:t>
              <w:br/>
              <w:t xml:space="preserve">inputs </w:t>
              <w:br/>
              <w:t>(Level 3)</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At </w:t>
              <w:br/>
              <w:t xml:space="preserve">amortized </w:t>
              <w:br/>
              <w:t>cost</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Quoted </w:t>
              <w:br/>
              <w:t xml:space="preserve">prices </w:t>
              <w:br/>
              <w:t xml:space="preserve">in active </w:t>
              <w:br/>
              <w:t xml:space="preserve">markets </w:t>
              <w:br/>
              <w:t>(Level 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Significant </w:t>
              <w:br/>
              <w:t xml:space="preserve">observable </w:t>
              <w:br/>
              <w:t xml:space="preserve">inputs </w:t>
              <w:br/>
              <w:t>(Level 2)</w:t>
            </w:r>
          </w:p>
        </w:tc>
        <w:tc>
          <w:tcPr>
            <w:tcW w:w="146"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Significant </w:t>
              <w:br/>
              <w:t xml:space="preserve">unobservable </w:t>
              <w:br/>
              <w:t xml:space="preserve">inputs </w:t>
              <w:br/>
              <w:t>(Level 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At </w:t>
              <w:br/>
              <w:t xml:space="preserve">amortized </w:t>
              <w:br/>
              <w:t>cost</w:t>
            </w:r>
            <w:r>
              <w:rPr>
                <w:rFonts w:ascii="Times New Roman PS Std;serif" w:hAnsi="Times New Roman PS Std;serif"/>
                <w:b/>
                <w:i w:val="false"/>
                <w:caps w:val="false"/>
                <w:smallCaps w:val="false"/>
                <w:sz w:val="12"/>
              </w:rPr>
              <w:t>(1)</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Deposits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8,421</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11,202</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Trade receivables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5,608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2,133</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Government grants receivable</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9,379</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10,870</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 and cash equivalents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73,762</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7,163</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financial assets</w:t>
            </w:r>
          </w:p>
        </w:tc>
        <w:tc>
          <w:tcPr>
            <w:tcW w:w="146" w:type="dxa"/>
            <w:tcBorders/>
            <w:shd w:fill="CCEEFF" w:val="clear"/>
            <w:vAlign w:val="bottom"/>
          </w:tcPr>
          <w:p>
            <w:pPr>
              <w:pStyle w:val="TableContents"/>
              <w:bidi w:val="0"/>
              <w:spacing w:before="0" w:after="283"/>
              <w:jc w:val="left"/>
              <w:rPr/>
            </w:pPr>
            <w:r>
              <w:rPr/>
              <w:t> </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97,170</w:t>
            </w:r>
          </w:p>
        </w:tc>
        <w:tc>
          <w:tcPr>
            <w:tcW w:w="146" w:type="dxa"/>
            <w:tcBorders/>
            <w:shd w:fill="CCEEFF" w:val="clear"/>
            <w:vAlign w:val="bottom"/>
          </w:tcPr>
          <w:p>
            <w:pPr>
              <w:pStyle w:val="TableContents"/>
              <w:bidi w:val="0"/>
              <w:spacing w:before="0" w:after="283"/>
              <w:jc w:val="left"/>
              <w:rPr/>
            </w:pPr>
            <w:r>
              <w:rPr/>
              <w:t> </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31,369</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Borrowings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102,278</w:t>
            </w:r>
          </w:p>
        </w:tc>
        <w:tc>
          <w:tcPr>
            <w:tcW w:w="328"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10,526</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4,816</w:t>
            </w:r>
          </w:p>
        </w:tc>
        <w:tc>
          <w:tcPr>
            <w:tcW w:w="362"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8,566</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Lease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10,151</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11,025</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Trade and other payables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9,556</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6,607</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Cash-settled share-based payment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10,542</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6,146</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Contingent consideration financial liability</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14,913</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financial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8,084</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6,475</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financial liabilities</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112,820</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38,318</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25,875</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32,673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carrying amount of financial assets measured at amortized cost is deemed to be a reasonable estimation of fair value.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Corresponds to the fair value of the bonds redeemable in shares measured as at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(3)      Corresponds to the fair value of the convertible loan measured as at December 31,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(4)      Relates to the contingent consideration financial liability arising from the acquisition of Aeponyx completed in 2024. This amount was reclassified, within equity in 2025 (see Note 17). See Notes 17 and 33 for further disclosures on the Exchangeable and Milestone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values (including accrued interest) for the main financial liabilities are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BPI — Innovation R&amp;D (EUR): €960 thousand at December 31, 2025 (€1,118 thousand at December 31,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BPI Amorçage Investissement (EUR): €1,119 thousand at December 31, 2025 (€1,291 thousand at December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18. Fair value measurement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Investissement Québec (CAD): €1,621 thousand at December 31, 2025 (€1,081 thousand at December 31,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BDC Capital Inc (CAD): €1,995 thousand at December 31, 2025 (€2,293 thousand at December 31,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Illinois Finance Authority (USD): €1,634 thousand at December 31, 2025.</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19. Revenue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 Revenue recognition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Performance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generates revenue from the sale of quantum equipment (QPU) and from the sale of QPU-related services which include computing time on quantum computers, maintenance services and research and development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contracts with customers is recognized when control of the goods or services is transferred to the customer at an amount that reflects the consideration to which the Group expects to be entitled in exchange for those goods or services. The Group has concluded that it is the principal in its revenue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QPU sales (including licenses, hardware and software) is recognized at the point in time when control of the asset is transferred to the customer. QPU sales are recognized at a point in time, as customer arrangements do not meet the criteria for over-time revenue recognition under IFRS 15. In particular, the Group does not develop QPUs for customer-specific configurations, and the related performance obligation is therefore satisfied only upon the transfer of control, generally upon completion of installation and acceptance of the customer.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QPU-related services relating to time-sharing computing services, or maintenance, is recognized over time on a usage or straight-line basis. Research and development services revenue is recognized over time using the cost to cost method to measure progress to completion.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sales cryogenic systems (4K cryostats) used in quantum technology research. Revenue from the sale of cryostats is recognized at the point in time when control of the asset is transferred to the customer.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unlikely to be collected is not recognized in the financial statements for the period in which the performance obligation is satisfied.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considers whether there are other promises in the contract that are separate performance obligations to which a portion of the transaction price needs to be allocated. In determining the transaction price for each performance obligation, the Group considers, among other factors, the effects of variable consideration and the existence of a significant financing component. Variable (including contingent) consideration is included in the transaction price only to the extent that it is highly probable that no significant reversal of cumulative revenue will arise when the uncertainty is resolved.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Significant financing component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receives advance payments from customers for the sale of quantum processing units (QPU) with a delivery and commissioning lead time of two years after signing the contract and receipt of payment. There is a significant financing component for these contracts considering the length of time between the customers’ payment and the transfer of the equipment, as well as the prevailing interest rate in the market. As such, the transaction price is adjusted and an interest expense is accreted on contract liabilities.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19. Revenue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Contract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contract liability is recognized if a payment is received or a payment is due (whichever is earlier) from a customer before the Group transfers the related goods or services. Contract liabilities are recognized as revenue when the Group satisfies the related performance obligations in accordance with IFRS 15.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16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19.2. Breakdown of revenue</w:t>
      </w:r>
    </w:p>
    <w:tbl>
      <w:tblPr>
        <w:tblW w:w="5350" w:type="dxa"/>
        <w:jc w:val="left"/>
        <w:tblInd w:w="0" w:type="dxa"/>
        <w:tblLayout w:type="fixed"/>
        <w:tblCellMar>
          <w:top w:w="0" w:type="dxa"/>
          <w:left w:w="0" w:type="dxa"/>
          <w:bottom w:w="0" w:type="dxa"/>
          <w:right w:w="0" w:type="dxa"/>
        </w:tblCellMar>
      </w:tblPr>
      <w:tblGrid>
        <w:gridCol w:w="3316"/>
        <w:gridCol w:w="146"/>
        <w:gridCol w:w="916"/>
        <w:gridCol w:w="146"/>
        <w:gridCol w:w="826"/>
      </w:tblGrid>
      <w:tr>
        <w:trPr/>
        <w:tc>
          <w:tcPr>
            <w:tcW w:w="3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sales(1)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QPU-related services(2)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6,459</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2,064</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by products or services</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16,468</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3,508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Including the release of the accretion effect related to the significant financing components amounting to €1,667 thousand. See Note 16 for further disclosures.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(2)      QPU-related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services are mainly made of R&amp;D services. QPU maintenance services represent €7 thousand. No revenue was recognized on time-sharing computing services as at December 31, 2025.</w:t>
      </w:r>
    </w:p>
    <w:tbl>
      <w:tblPr>
        <w:tblW w:w="5856" w:type="dxa"/>
        <w:jc w:val="left"/>
        <w:tblInd w:w="0" w:type="dxa"/>
        <w:tblLayout w:type="fixed"/>
        <w:tblCellMar>
          <w:top w:w="0" w:type="dxa"/>
          <w:left w:w="0" w:type="dxa"/>
          <w:bottom w:w="0" w:type="dxa"/>
          <w:right w:w="0" w:type="dxa"/>
        </w:tblCellMar>
      </w:tblPr>
      <w:tblGrid>
        <w:gridCol w:w="1786"/>
        <w:gridCol w:w="146"/>
        <w:gridCol w:w="916"/>
        <w:gridCol w:w="146"/>
        <w:gridCol w:w="511"/>
        <w:gridCol w:w="361"/>
        <w:gridCol w:w="146"/>
        <w:gridCol w:w="781"/>
        <w:gridCol w:w="146"/>
        <w:gridCol w:w="511"/>
        <w:gridCol w:w="406"/>
      </w:tblGrid>
      <w:tr>
        <w:trPr/>
        <w:tc>
          <w:tcPr>
            <w:tcW w:w="17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10,352</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2,577</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4,387</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 of Europe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North America</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Asia Pacific</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 of the world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36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16,468</w:t>
            </w:r>
          </w:p>
        </w:tc>
        <w:tc>
          <w:tcPr>
            <w:tcW w:w="146" w:type="dxa"/>
            <w:tcBorders/>
            <w:shd w:fill="CCEEFF" w:val="clear"/>
            <w:vAlign w:val="bottom"/>
          </w:tcPr>
          <w:p>
            <w:pPr>
              <w:pStyle w:val="TableContents"/>
              <w:bidi w:val="0"/>
              <w:spacing w:before="0" w:after="283"/>
              <w:jc w:val="left"/>
              <w:rPr/>
            </w:pPr>
            <w:r>
              <w:rPr/>
              <w:t> </w:t>
            </w:r>
          </w:p>
        </w:tc>
        <w:tc>
          <w:tcPr>
            <w:tcW w:w="5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36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3,508</w:t>
            </w:r>
          </w:p>
        </w:tc>
        <w:tc>
          <w:tcPr>
            <w:tcW w:w="146" w:type="dxa"/>
            <w:tcBorders/>
            <w:shd w:fill="CCEEFF" w:val="clear"/>
            <w:vAlign w:val="bottom"/>
          </w:tcPr>
          <w:p>
            <w:pPr>
              <w:pStyle w:val="TableContents"/>
              <w:bidi w:val="0"/>
              <w:spacing w:before="0" w:after="283"/>
              <w:jc w:val="left"/>
              <w:rPr/>
            </w:pPr>
            <w:r>
              <w:rPr/>
              <w:t> </w:t>
            </w:r>
          </w:p>
        </w:tc>
        <w:tc>
          <w:tcPr>
            <w:tcW w:w="5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three customers each accounted for more than 10% of the Group’s consolidated revenue, generated from QPU sales and QPU-related services in France and Germany. These three customers together accounted for 78% of the Group’s consolidated revenue (€12,826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only one customer accounted for more than 10% of the Group’s consolidated revenue, generated from QPU-related services in France. This customer accounted for 23% of the Group’s consolidated revenue (€800 thousand).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 Remaining performance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the order book (firm orders not fulfilled) and the provisional schedule for the fulfilment of the unfulfilled performance obligations is as follows:</w:t>
      </w:r>
    </w:p>
    <w:tbl>
      <w:tblPr>
        <w:tblW w:w="6013" w:type="dxa"/>
        <w:jc w:val="left"/>
        <w:tblInd w:w="0" w:type="dxa"/>
        <w:tblLayout w:type="fixed"/>
        <w:tblCellMar>
          <w:top w:w="0" w:type="dxa"/>
          <w:left w:w="0" w:type="dxa"/>
          <w:bottom w:w="0" w:type="dxa"/>
          <w:right w:w="0" w:type="dxa"/>
        </w:tblCellMar>
      </w:tblPr>
      <w:tblGrid>
        <w:gridCol w:w="4186"/>
        <w:gridCol w:w="146"/>
        <w:gridCol w:w="168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15,288</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2027 and beyond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20,144</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order book</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35,432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19. Revenue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Unfulfilled performance obligations as of December 31, 2024 were as follows:</w:t>
      </w:r>
    </w:p>
    <w:tbl>
      <w:tblPr>
        <w:tblW w:w="6013" w:type="dxa"/>
        <w:jc w:val="left"/>
        <w:tblInd w:w="0" w:type="dxa"/>
        <w:tblLayout w:type="fixed"/>
        <w:tblCellMar>
          <w:top w:w="0" w:type="dxa"/>
          <w:left w:w="0" w:type="dxa"/>
          <w:bottom w:w="0" w:type="dxa"/>
          <w:right w:w="0" w:type="dxa"/>
        </w:tblCellMar>
      </w:tblPr>
      <w:tblGrid>
        <w:gridCol w:w="4186"/>
        <w:gridCol w:w="146"/>
        <w:gridCol w:w="168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2025</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13,827</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2026 and beyond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22,323</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order book</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36,150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expected revenue was included for Quebec Inc. due to the significant uncertainty on variable consideration.</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20. Purchases of material</w:t>
      </w:r>
    </w:p>
    <w:tbl>
      <w:tblPr>
        <w:tblW w:w="6987" w:type="dxa"/>
        <w:jc w:val="left"/>
        <w:tblInd w:w="0" w:type="dxa"/>
        <w:tblLayout w:type="fixed"/>
        <w:tblCellMar>
          <w:top w:w="0" w:type="dxa"/>
          <w:left w:w="0" w:type="dxa"/>
          <w:bottom w:w="0" w:type="dxa"/>
          <w:right w:w="0" w:type="dxa"/>
        </w:tblCellMar>
      </w:tblPr>
      <w:tblGrid>
        <w:gridCol w:w="4546"/>
        <w:gridCol w:w="146"/>
        <w:gridCol w:w="811"/>
        <w:gridCol w:w="241"/>
        <w:gridCol w:w="146"/>
        <w:gridCol w:w="811"/>
        <w:gridCol w:w="286"/>
      </w:tblGrid>
      <w:tr>
        <w:trPr/>
        <w:tc>
          <w:tcPr>
            <w:tcW w:w="45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raw materials and consumables</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purchases(1)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Purchases of material</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(5,057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(6,799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Mainly purchases of goods.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21. Employee salaries and benefit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 amount to €38,671 thousand for the year ended December 31, 2025, compared with €27,860 thousand in 2024.</w:t>
      </w:r>
    </w:p>
    <w:tbl>
      <w:tblPr>
        <w:tblW w:w="7272" w:type="dxa"/>
        <w:jc w:val="left"/>
        <w:tblInd w:w="0" w:type="dxa"/>
        <w:tblLayout w:type="fixed"/>
        <w:tblCellMar>
          <w:top w:w="0" w:type="dxa"/>
          <w:left w:w="0" w:type="dxa"/>
          <w:bottom w:w="0" w:type="dxa"/>
          <w:right w:w="0" w:type="dxa"/>
        </w:tblCellMar>
      </w:tblPr>
      <w:tblGrid>
        <w:gridCol w:w="4561"/>
        <w:gridCol w:w="146"/>
        <w:gridCol w:w="946"/>
        <w:gridCol w:w="241"/>
        <w:gridCol w:w="146"/>
        <w:gridCol w:w="946"/>
        <w:gridCol w:w="286"/>
      </w:tblGrid>
      <w:tr>
        <w:trPr/>
        <w:tc>
          <w:tcPr>
            <w:tcW w:w="4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wages and benefits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retirement plan(b)</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salaries and benefit expenses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(38,671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(27,860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    Including in 2025:</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Spreading of the expense relating to post-combination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services in relation with the MCF acquisition for €191 thousand (€383 thousand in 2024).</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Expense for the financial year relating to BSPCEs, SARs and options for an amount of €13,872 thousand (€2,777 thousand in 2024).</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    See further disclosures in Note 13 — Defined benefit obligation.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average headcount breaks down as follows:</w:t>
      </w:r>
    </w:p>
    <w:tbl>
      <w:tblPr>
        <w:tblW w:w="7060" w:type="dxa"/>
        <w:jc w:val="left"/>
        <w:tblInd w:w="0" w:type="dxa"/>
        <w:tblLayout w:type="fixed"/>
        <w:tblCellMar>
          <w:top w:w="0" w:type="dxa"/>
          <w:left w:w="0" w:type="dxa"/>
          <w:bottom w:w="0" w:type="dxa"/>
          <w:right w:w="0" w:type="dxa"/>
        </w:tblCellMar>
      </w:tblPr>
      <w:tblGrid>
        <w:gridCol w:w="3451"/>
        <w:gridCol w:w="146"/>
        <w:gridCol w:w="1636"/>
        <w:gridCol w:w="146"/>
        <w:gridCol w:w="1681"/>
      </w:tblGrid>
      <w:tr>
        <w:trPr/>
        <w:tc>
          <w:tcPr>
            <w:tcW w:w="34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Technical and administrative staff</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France Workforce</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224</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198</w:t>
            </w:r>
          </w:p>
        </w:tc>
      </w:tr>
      <w:tr>
        <w:trPr/>
        <w:tc>
          <w:tcPr>
            <w:tcW w:w="3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Expatriate and local headcount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Average Group headcount</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22. Professional services and other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External services primarily consist of outsourced activities such as accounting and legal fees, lease expenses that fall outside the scope of IFRS 16 — Leases (short-term leases, low-value assets, and variable lease payments, see Notes 7.4 and 11), as well as other miscellaneous expenses. See detailed breakdown below.</w:t>
      </w:r>
    </w:p>
    <w:tbl>
      <w:tblPr>
        <w:tblW w:w="7287" w:type="dxa"/>
        <w:jc w:val="left"/>
        <w:tblInd w:w="0" w:type="dxa"/>
        <w:tblLayout w:type="fixed"/>
        <w:tblCellMar>
          <w:top w:w="0" w:type="dxa"/>
          <w:left w:w="0" w:type="dxa"/>
          <w:bottom w:w="0" w:type="dxa"/>
          <w:right w:w="0" w:type="dxa"/>
        </w:tblCellMar>
      </w:tblPr>
      <w:tblGrid>
        <w:gridCol w:w="4576"/>
        <w:gridCol w:w="146"/>
        <w:gridCol w:w="946"/>
        <w:gridCol w:w="241"/>
        <w:gridCol w:w="146"/>
        <w:gridCol w:w="946"/>
        <w:gridCol w:w="286"/>
      </w:tblGrid>
      <w:tr>
        <w:trPr/>
        <w:tc>
          <w:tcPr>
            <w:tcW w:w="45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for external professional services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costs (including rentals)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public relation expenses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and entertainment expenses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outsourced services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external charges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and repairs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fees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 costs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postage</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Professional services and other services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(19,641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(20,933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23. Other operating income and expenses</w:t>
      </w:r>
    </w:p>
    <w:tbl>
      <w:tblPr>
        <w:tblW w:w="6897" w:type="dxa"/>
        <w:jc w:val="left"/>
        <w:tblInd w:w="0" w:type="dxa"/>
        <w:tblLayout w:type="fixed"/>
        <w:tblCellMar>
          <w:top w:w="0" w:type="dxa"/>
          <w:left w:w="0" w:type="dxa"/>
          <w:bottom w:w="0" w:type="dxa"/>
          <w:right w:w="0" w:type="dxa"/>
        </w:tblCellMar>
      </w:tblPr>
      <w:tblGrid>
        <w:gridCol w:w="4486"/>
        <w:gridCol w:w="146"/>
        <w:gridCol w:w="781"/>
        <w:gridCol w:w="241"/>
        <w:gridCol w:w="146"/>
        <w:gridCol w:w="811"/>
        <w:gridCol w:w="286"/>
      </w:tblGrid>
      <w:tr>
        <w:trPr/>
        <w:tc>
          <w:tcPr>
            <w:tcW w:w="4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provisions for onerous contracts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taxes and levies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book value of divested intangible assets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book value of divested tangible assets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operating income and expenses</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(6,148</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24. Finance income</w:t>
      </w:r>
    </w:p>
    <w:tbl>
      <w:tblPr>
        <w:tblW w:w="6835" w:type="dxa"/>
        <w:jc w:val="left"/>
        <w:tblInd w:w="0" w:type="dxa"/>
        <w:tblLayout w:type="fixed"/>
        <w:tblCellMar>
          <w:top w:w="0" w:type="dxa"/>
          <w:left w:w="0" w:type="dxa"/>
          <w:bottom w:w="0" w:type="dxa"/>
          <w:right w:w="0" w:type="dxa"/>
        </w:tblCellMar>
      </w:tblPr>
      <w:tblGrid>
        <w:gridCol w:w="4936"/>
        <w:gridCol w:w="146"/>
        <w:gridCol w:w="781"/>
        <w:gridCol w:w="146"/>
        <w:gridCol w:w="826"/>
      </w:tblGrid>
      <w:tr>
        <w:trPr/>
        <w:tc>
          <w:tcPr>
            <w:tcW w:w="49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 from cash and cash equivalents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706</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gains on financial operations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1,574</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1,041</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25. Interest expense and other financial expenses</w:t>
      </w:r>
    </w:p>
    <w:tbl>
      <w:tblPr>
        <w:tblW w:w="7902" w:type="dxa"/>
        <w:jc w:val="left"/>
        <w:tblInd w:w="0" w:type="dxa"/>
        <w:tblLayout w:type="fixed"/>
        <w:tblCellMar>
          <w:top w:w="0" w:type="dxa"/>
          <w:left w:w="0" w:type="dxa"/>
          <w:bottom w:w="0" w:type="dxa"/>
          <w:right w:w="0" w:type="dxa"/>
        </w:tblCellMar>
      </w:tblPr>
      <w:tblGrid>
        <w:gridCol w:w="5461"/>
        <w:gridCol w:w="146"/>
        <w:gridCol w:w="811"/>
        <w:gridCol w:w="241"/>
        <w:gridCol w:w="146"/>
        <w:gridCol w:w="811"/>
        <w:gridCol w:w="286"/>
      </w:tblGrid>
      <w:tr>
        <w:trPr/>
        <w:tc>
          <w:tcPr>
            <w:tcW w:w="54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lease liabilities</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loss on financial operations</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costs of financial liabilities measured at FVPL</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expense and other financial expenses</w:t>
            </w:r>
          </w:p>
        </w:tc>
        <w:tc>
          <w:tcPr>
            <w:tcW w:w="146" w:type="dxa"/>
            <w:tcBorders/>
            <w:vAlign w:val="bottom"/>
          </w:tcPr>
          <w:p>
            <w:pPr>
              <w:pStyle w:val="TableContents"/>
              <w:bidi w:val="0"/>
              <w:spacing w:before="0" w:after="283"/>
              <w:jc w:val="left"/>
              <w:rPr/>
            </w:pPr>
            <w:r>
              <w:rPr/>
              <w:t> </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(8,410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(3,139</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Including interest expense related to the accretion of contract liabilities amounting to €2,718 thousand (see Note 16).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26.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 are recognized to reflect the differences between the book values and tax values of assets and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They result from: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Temporary differences arising when the book value of an asset or liability differs from its tax value. These are either: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Sources of future taxes: (deferred tax liabilities) these are essentially income for which taxation is deferred;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Sources of future deductions (deferred tax assets): these mainly comprise provisions that are temporarily non-deductible for tax purposes.</w:t>
      </w:r>
    </w:p>
    <w:p>
      <w:pPr>
        <w:pStyle w:val="TextBody"/>
        <w:keepNext w:val="false"/>
        <w:pageBreakBefore w:val="false"/>
        <w:widowControl/>
        <w:pBdr/>
        <w:bidi w:val="0"/>
        <w:spacing w:before="160" w:after="283"/>
        <w:ind w:left="144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assets are recognized to the extent that it is probable that sufficient taxable income will be available against which the temporary differences can be offset, and are reviewed at each reporting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loss carry-forwards (deferred tax assets) that are likely to be recovered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 are measured at the local tax rates expected to apply in the period in which the asset will be realized and the liability settled, based on tax rates that have been enacted or substantively enacted at the reporting date, depending on the country. Thus, as of December 31, 2025, temporary differences and tax loss carry-forwards of French entities were recognized at the rates enacted, i.e., 25% for 2025 and beyond. The tax rate for 2024 was 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it is not probable for a group entity to recover net deferred tax assets in the medium term, the net deferred tax assets of that entity are impaired.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 Income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allocation of income tax expense between current and deferred taxes:</w:t>
      </w:r>
    </w:p>
    <w:tbl>
      <w:tblPr>
        <w:tblW w:w="3401" w:type="dxa"/>
        <w:jc w:val="left"/>
        <w:tblInd w:w="0" w:type="dxa"/>
        <w:tblLayout w:type="fixed"/>
        <w:tblCellMar>
          <w:top w:w="0" w:type="dxa"/>
          <w:left w:w="0" w:type="dxa"/>
          <w:bottom w:w="0" w:type="dxa"/>
          <w:right w:w="0" w:type="dxa"/>
        </w:tblCellMar>
      </w:tblPr>
      <w:tblGrid>
        <w:gridCol w:w="1636"/>
        <w:gridCol w:w="146"/>
        <w:gridCol w:w="526"/>
        <w:gridCol w:w="256"/>
        <w:gridCol w:w="146"/>
        <w:gridCol w:w="691"/>
      </w:tblGrid>
      <w:tr>
        <w:trPr/>
        <w:tc>
          <w:tcPr>
            <w:tcW w:w="16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r>
      <w:tr>
        <w:trPr/>
        <w:tc>
          <w:tcPr>
            <w:tcW w:w="1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difference between the theoretical tax charge and the actual income tax expense mainly results from tax losses carried forward for which no deferred tax assets have been recognized.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 Deferred tax assets and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Deferred tax assets are recognized only to the extent that it is probable that future taxable profits will be available against which deductible temporary differences and tax loss carryforwards can be utilized. Accordingly, deferred tax assets have not been recognized for certain loss-making entities.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unrecognized deferred tax assets mainly related to tax loss carryforwards of Pasqal SAS amounting to €126.5 million and Pasqal Canada amounting to €7.0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2024, the Group’s net deferred tax liability position mainly arose from the fair value step-up recognized on the technology acquired in the Aeponyx acquisition, partially offset by deferred tax assets recognized on Aeponyx’s tax loss carryforwards. In 2025, changes in Aeponyx’s tax loss carryforwards further offset the deferred tax liability relating to the fair value step-up. As a result, the Group’s net deferred tax liability position amounted to €366 thousand as of December 31, 2025 (€276 thousand as of December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26. Income taxes </w:t>
      </w:r>
      <w:r>
        <w:rPr>
          <w:rFonts w:ascii="Times New Roman PS Std;serif" w:hAnsi="Times New Roman PS Std;serif"/>
          <w:b w:val="false"/>
          <w:i w:val="false"/>
          <w:caps w:val="false"/>
          <w:smallCaps w:val="false"/>
          <w:sz w:val="20"/>
        </w:rPr>
        <w:t>(cont.)</w:t>
      </w:r>
    </w:p>
    <w:tbl>
      <w:tblPr>
        <w:tblW w:w="8843" w:type="dxa"/>
        <w:jc w:val="left"/>
        <w:tblInd w:w="0" w:type="dxa"/>
        <w:tblLayout w:type="fixed"/>
        <w:tblCellMar>
          <w:top w:w="0" w:type="dxa"/>
          <w:left w:w="0" w:type="dxa"/>
          <w:bottom w:w="0" w:type="dxa"/>
          <w:right w:w="0" w:type="dxa"/>
        </w:tblCellMar>
      </w:tblPr>
      <w:tblGrid>
        <w:gridCol w:w="5236"/>
        <w:gridCol w:w="146"/>
        <w:gridCol w:w="1249"/>
        <w:gridCol w:w="386"/>
        <w:gridCol w:w="146"/>
        <w:gridCol w:w="1229"/>
        <w:gridCol w:w="451"/>
      </w:tblGrid>
      <w:tr>
        <w:trPr/>
        <w:tc>
          <w:tcPr>
            <w:tcW w:w="52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Deferred taxes</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Deferred tax liabilities</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(366</w:t>
            </w:r>
          </w:p>
        </w:tc>
        <w:tc>
          <w:tcPr>
            <w:tcW w:w="3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(276</w:t>
            </w:r>
          </w:p>
        </w:tc>
        <w:tc>
          <w:tcPr>
            <w:tcW w:w="4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2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left"/>
              <w:rPr/>
            </w:pPr>
            <w:r>
              <w:rPr/>
              <w:t> </w:t>
            </w:r>
          </w:p>
        </w:tc>
        <w:tc>
          <w:tcPr>
            <w:tcW w:w="3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by nature</w:t>
            </w:r>
          </w:p>
        </w:tc>
        <w:tc>
          <w:tcPr>
            <w:tcW w:w="14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on Aeponyx’s tax loss carryforwards(1)</w:t>
            </w:r>
          </w:p>
        </w:tc>
        <w:tc>
          <w:tcPr>
            <w:tcW w:w="146" w:type="dxa"/>
            <w:tcBorders/>
            <w:vAlign w:val="bottom"/>
          </w:tcPr>
          <w:p>
            <w:pPr>
              <w:pStyle w:val="TableContents"/>
              <w:bidi w:val="0"/>
              <w:spacing w:before="0" w:after="283"/>
              <w:jc w:val="left"/>
              <w:rPr/>
            </w:pPr>
            <w:r>
              <w:rPr/>
              <w:t> </w:t>
            </w:r>
          </w:p>
        </w:tc>
        <w:tc>
          <w:tcPr>
            <w:tcW w:w="12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2,886</w:t>
            </w:r>
          </w:p>
        </w:tc>
        <w:tc>
          <w:tcPr>
            <w:tcW w:w="3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3,018</w:t>
            </w:r>
          </w:p>
        </w:tc>
        <w:tc>
          <w:tcPr>
            <w:tcW w:w="4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on PPA(1)(2)</w:t>
            </w:r>
          </w:p>
        </w:tc>
        <w:tc>
          <w:tcPr>
            <w:tcW w:w="14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(3,251</w:t>
            </w:r>
          </w:p>
        </w:tc>
        <w:tc>
          <w:tcPr>
            <w:tcW w:w="3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(3,294</w:t>
            </w:r>
          </w:p>
        </w:tc>
        <w:tc>
          <w:tcPr>
            <w:tcW w:w="4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left"/>
              <w:rPr/>
            </w:pPr>
            <w:r>
              <w:rPr/>
              <w:t> </w:t>
            </w:r>
          </w:p>
        </w:tc>
        <w:tc>
          <w:tcPr>
            <w:tcW w:w="3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by country</w:t>
            </w:r>
          </w:p>
        </w:tc>
        <w:tc>
          <w:tcPr>
            <w:tcW w:w="14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w:t>
            </w:r>
          </w:p>
        </w:tc>
        <w:tc>
          <w:tcPr>
            <w:tcW w:w="146" w:type="dxa"/>
            <w:tcBorders/>
            <w:vAlign w:val="bottom"/>
          </w:tcPr>
          <w:p>
            <w:pPr>
              <w:pStyle w:val="TableContents"/>
              <w:bidi w:val="0"/>
              <w:spacing w:before="0" w:after="283"/>
              <w:jc w:val="left"/>
              <w:rPr/>
            </w:pPr>
            <w:r>
              <w:rPr/>
              <w:t> </w:t>
            </w:r>
          </w:p>
        </w:tc>
        <w:tc>
          <w:tcPr>
            <w:tcW w:w="12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3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Deferred tax balances mainly relate to the fair value step-up</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on the technology recognized at the Aeponyx acquisition and to Aeponyx’s tax loss carryforwards existing at the acquisition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See Note 7.1 for further disclosure on Aeponyx’s acquisition.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27. Earnings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calculation of the basic and diluted earnings per share.</w:t>
      </w:r>
    </w:p>
    <w:tbl>
      <w:tblPr>
        <w:tblW w:w="10205" w:type="dxa"/>
        <w:jc w:val="left"/>
        <w:tblInd w:w="0" w:type="dxa"/>
        <w:tblLayout w:type="fixed"/>
        <w:tblCellMar>
          <w:top w:w="0" w:type="dxa"/>
          <w:left w:w="0" w:type="dxa"/>
          <w:bottom w:w="0" w:type="dxa"/>
          <w:right w:w="0" w:type="dxa"/>
        </w:tblCellMar>
      </w:tblPr>
      <w:tblGrid>
        <w:gridCol w:w="7104"/>
        <w:gridCol w:w="146"/>
        <w:gridCol w:w="1126"/>
        <w:gridCol w:w="256"/>
        <w:gridCol w:w="146"/>
        <w:gridCol w:w="1126"/>
        <w:gridCol w:w="301"/>
      </w:tblGrid>
      <w:tr>
        <w:trPr/>
        <w:tc>
          <w:tcPr>
            <w:tcW w:w="71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71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 xml:space="preserve">Numerator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period from continuing operations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(92.355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attributable to owners of the parent from continuing operations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(92.355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48,498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outstanding used in computing basic and diluted loss per share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6,929,134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6,923,000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per share – basic and diluted</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Group reported a loss of €92.355 thousand for the year ended December 31, 2025 (€48,498 thousand for the year ended December 31, 2024), diluted loss per share excludes all instruments that could potentially dilute earnings per share in the future periods. They were not included in the calculation of diluted earnings per share because they are antidilutive for the period presented. Accordingly, diluted loss per share is identical to basic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total number of potential ordinary shares related to instruments that could potentially dilute basic earnings per share amounted to 8,460,074 (as of December 31, 2024: 7,985,184), including contingently issuable upon settlement of contingent consideration arrangements. See Notes 9.4, 10 and 17 for further details on these instruments.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28. Related party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28.1. Definition of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parties are defined in accordance with IAS 24 — Related Party Disclosures. Related parties include, among others, key management personnel (“KMP”), members of governance bodies, shareholders and other parties as defined under IAS 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have a parent company and therefore does not have an ultimate controlling parent.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 Related party transactions and balances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Transactions and balances (excluding KMP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 mainly relate to shareholders, directors and entities controlled or significantly influenced by members of the Group’s key management personnel or Supervisory Board.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28. Related party disclosures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transactions and balances with related parties occurred during the period:</w:t>
      </w:r>
    </w:p>
    <w:tbl>
      <w:tblPr>
        <w:tblW w:w="6565" w:type="dxa"/>
        <w:jc w:val="left"/>
        <w:tblInd w:w="0" w:type="dxa"/>
        <w:tblLayout w:type="fixed"/>
        <w:tblCellMar>
          <w:top w:w="0" w:type="dxa"/>
          <w:left w:w="0" w:type="dxa"/>
          <w:bottom w:w="0" w:type="dxa"/>
          <w:right w:w="0" w:type="dxa"/>
        </w:tblCellMar>
      </w:tblPr>
      <w:tblGrid>
        <w:gridCol w:w="2956"/>
        <w:gridCol w:w="146"/>
        <w:gridCol w:w="1636"/>
        <w:gridCol w:w="146"/>
        <w:gridCol w:w="1681"/>
      </w:tblGrid>
      <w:tr>
        <w:trPr/>
        <w:tc>
          <w:tcPr>
            <w:tcW w:w="2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24,364</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4,776</w:t>
            </w:r>
          </w:p>
        </w:tc>
      </w:tr>
      <w:tr>
        <w:trPr/>
        <w:tc>
          <w:tcPr>
            <w:tcW w:w="2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grants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2,503</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2,503</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and expenses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2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1,547</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Key management personnel (KMP)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management personnel comprise members of Group’s executive management team and members of Supervisory Board who have authority and responsibility for planning, directing and controlling the activities of the Group. As of December 31, 2025, key management personnel consist of 11 individuals (as of December 31, 2024: 11 individuals), including individuals who ceased their functions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management personnel compensation was as follows:</w:t>
      </w:r>
    </w:p>
    <w:tbl>
      <w:tblPr>
        <w:tblW w:w="10205" w:type="dxa"/>
        <w:jc w:val="left"/>
        <w:tblInd w:w="0" w:type="dxa"/>
        <w:tblLayout w:type="fixed"/>
        <w:tblCellMar>
          <w:top w:w="0" w:type="dxa"/>
          <w:left w:w="0" w:type="dxa"/>
          <w:bottom w:w="0" w:type="dxa"/>
          <w:right w:w="0" w:type="dxa"/>
        </w:tblCellMar>
      </w:tblPr>
      <w:tblGrid>
        <w:gridCol w:w="6604"/>
        <w:gridCol w:w="146"/>
        <w:gridCol w:w="1631"/>
        <w:gridCol w:w="146"/>
        <w:gridCol w:w="1678"/>
      </w:tblGrid>
      <w:tr>
        <w:trPr/>
        <w:tc>
          <w:tcPr>
            <w:tcW w:w="66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short-term benefits</w:t>
            </w:r>
          </w:p>
        </w:tc>
        <w:tc>
          <w:tcPr>
            <w:tcW w:w="146"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1,993</w:t>
            </w:r>
          </w:p>
        </w:tc>
        <w:tc>
          <w:tcPr>
            <w:tcW w:w="146" w:type="dxa"/>
            <w:tcBorders/>
            <w:shd w:fill="CCEEFF" w:val="clear"/>
            <w:vAlign w:val="bottom"/>
          </w:tcPr>
          <w:p>
            <w:pPr>
              <w:pStyle w:val="TableContents"/>
              <w:bidi w:val="0"/>
              <w:spacing w:before="0" w:after="283"/>
              <w:jc w:val="left"/>
              <w:rPr/>
            </w:pPr>
            <w:r>
              <w:rPr/>
              <w:t> </w:t>
            </w:r>
          </w:p>
        </w:tc>
        <w:tc>
          <w:tcPr>
            <w:tcW w:w="16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1,973</w:t>
            </w:r>
          </w:p>
        </w:tc>
      </w:tr>
      <w:tr>
        <w:trPr/>
        <w:tc>
          <w:tcPr>
            <w:tcW w:w="6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expense</w:t>
            </w:r>
          </w:p>
        </w:tc>
        <w:tc>
          <w:tcPr>
            <w:tcW w:w="146" w:type="dxa"/>
            <w:tcBorders/>
            <w:vAlign w:val="bottom"/>
          </w:tcPr>
          <w:p>
            <w:pPr>
              <w:pStyle w:val="TableContents"/>
              <w:bidi w:val="0"/>
              <w:spacing w:before="0" w:after="283"/>
              <w:jc w:val="left"/>
              <w:rPr/>
            </w:pPr>
            <w:r>
              <w:rPr/>
              <w:t> </w:t>
            </w:r>
          </w:p>
        </w:tc>
        <w:tc>
          <w:tcPr>
            <w:tcW w:w="1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16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6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payment transactions(1)</w:t>
            </w:r>
          </w:p>
        </w:tc>
        <w:tc>
          <w:tcPr>
            <w:tcW w:w="146"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8,114</w:t>
            </w:r>
          </w:p>
        </w:tc>
        <w:tc>
          <w:tcPr>
            <w:tcW w:w="146" w:type="dxa"/>
            <w:tcBorders/>
            <w:shd w:fill="CCEEFF" w:val="clear"/>
            <w:vAlign w:val="bottom"/>
          </w:tcPr>
          <w:p>
            <w:pPr>
              <w:pStyle w:val="TableContents"/>
              <w:bidi w:val="0"/>
              <w:spacing w:before="0" w:after="283"/>
              <w:jc w:val="left"/>
              <w:rPr/>
            </w:pPr>
            <w:r>
              <w:rPr/>
              <w:t> </w:t>
            </w:r>
          </w:p>
        </w:tc>
        <w:tc>
          <w:tcPr>
            <w:tcW w:w="16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6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compensation recognized to key management personnel</w:t>
            </w:r>
          </w:p>
        </w:tc>
        <w:tc>
          <w:tcPr>
            <w:tcW w:w="146" w:type="dxa"/>
            <w:tcBorders/>
            <w:vAlign w:val="bottom"/>
          </w:tcPr>
          <w:p>
            <w:pPr>
              <w:pStyle w:val="TableContents"/>
              <w:bidi w:val="0"/>
              <w:spacing w:before="0" w:after="283"/>
              <w:jc w:val="left"/>
              <w:rPr/>
            </w:pPr>
            <w:r>
              <w:rPr/>
              <w:t> </w:t>
            </w:r>
          </w:p>
        </w:tc>
        <w:tc>
          <w:tcPr>
            <w:tcW w:w="16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10,132</w:t>
            </w:r>
          </w:p>
        </w:tc>
        <w:tc>
          <w:tcPr>
            <w:tcW w:w="146" w:type="dxa"/>
            <w:tcBorders/>
            <w:vAlign w:val="bottom"/>
          </w:tcPr>
          <w:p>
            <w:pPr>
              <w:pStyle w:val="TableContents"/>
              <w:bidi w:val="0"/>
              <w:spacing w:before="0" w:after="283"/>
              <w:jc w:val="left"/>
              <w:rPr/>
            </w:pPr>
            <w:r>
              <w:rPr/>
              <w:t> </w:t>
            </w:r>
          </w:p>
        </w:tc>
        <w:tc>
          <w:tcPr>
            <w:tcW w:w="16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The increase in Share-based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payment expense in 2025 mainly relates to grants and modifications of equity instruments issued to members of key management personnel in connection with the Series C financing and the planned business combination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amounts disclosed above represent expenses recognized in profit or loss during the reporting period in respect of key management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the aggregate defined benefit obligation for individuals who hold or have held executive positions during the reporting period:</w:t>
      </w:r>
    </w:p>
    <w:tbl>
      <w:tblPr>
        <w:tblW w:w="7195" w:type="dxa"/>
        <w:jc w:val="left"/>
        <w:tblInd w:w="0" w:type="dxa"/>
        <w:tblLayout w:type="fixed"/>
        <w:tblCellMar>
          <w:top w:w="0" w:type="dxa"/>
          <w:left w:w="0" w:type="dxa"/>
          <w:bottom w:w="0" w:type="dxa"/>
          <w:right w:w="0" w:type="dxa"/>
        </w:tblCellMar>
      </w:tblPr>
      <w:tblGrid>
        <w:gridCol w:w="3586"/>
        <w:gridCol w:w="146"/>
        <w:gridCol w:w="1636"/>
        <w:gridCol w:w="146"/>
        <w:gridCol w:w="1681"/>
      </w:tblGrid>
      <w:tr>
        <w:trPr/>
        <w:tc>
          <w:tcPr>
            <w:tcW w:w="35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Defined benefit obligation</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defined benefit obligation</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28.3. Commitments with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committed to issue contingent consideration shares in connection with the acquisition of Aeponyx to former owners of Aeponyx, who became members of key management personnel following the acquisition. See Note 17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29. Off-balance-sheet commitments</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29.1. Commitments given</w:t>
      </w:r>
    </w:p>
    <w:tbl>
      <w:tblPr>
        <w:tblW w:w="10205" w:type="dxa"/>
        <w:jc w:val="left"/>
        <w:tblInd w:w="0" w:type="dxa"/>
        <w:tblLayout w:type="fixed"/>
        <w:tblCellMar>
          <w:top w:w="0" w:type="dxa"/>
          <w:left w:w="0" w:type="dxa"/>
          <w:bottom w:w="0" w:type="dxa"/>
          <w:right w:w="0" w:type="dxa"/>
        </w:tblCellMar>
      </w:tblPr>
      <w:tblGrid>
        <w:gridCol w:w="6620"/>
        <w:gridCol w:w="146"/>
        <w:gridCol w:w="1623"/>
        <w:gridCol w:w="146"/>
        <w:gridCol w:w="1670"/>
      </w:tblGrid>
      <w:tr>
        <w:trPr/>
        <w:tc>
          <w:tcPr>
            <w:tcW w:w="66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2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Guarantees and collateral granted in connection with financing arrangements(a)</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22,089</w:t>
            </w:r>
          </w:p>
        </w:tc>
        <w:tc>
          <w:tcPr>
            <w:tcW w:w="146"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10,035</w:t>
            </w:r>
          </w:p>
        </w:tc>
      </w:tr>
      <w:tr>
        <w:trPr/>
        <w:tc>
          <w:tcPr>
            <w:tcW w:w="662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commitments given(b)</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21,218</w:t>
            </w:r>
          </w:p>
        </w:tc>
        <w:tc>
          <w:tcPr>
            <w:tcW w:w="146" w:type="dxa"/>
            <w:tcBorders/>
            <w:vAlign w:val="bottom"/>
          </w:tcPr>
          <w:p>
            <w:pPr>
              <w:pStyle w:val="TableContents"/>
              <w:bidi w:val="0"/>
              <w:spacing w:before="0" w:after="283"/>
              <w:jc w:val="left"/>
              <w:rPr/>
            </w:pPr>
            <w:r>
              <w:rPr/>
              <w:t> </w:t>
            </w:r>
          </w:p>
        </w:tc>
        <w:tc>
          <w:tcPr>
            <w:tcW w:w="16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20,855</w:t>
            </w:r>
          </w:p>
        </w:tc>
      </w:tr>
      <w:tr>
        <w:trPr/>
        <w:tc>
          <w:tcPr>
            <w:tcW w:w="662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6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43,307</w:t>
            </w:r>
          </w:p>
        </w:tc>
        <w:tc>
          <w:tcPr>
            <w:tcW w:w="146" w:type="dxa"/>
            <w:tcBorders/>
            <w:shd w:fill="CCEEFF" w:val="clear"/>
            <w:vAlign w:val="bottom"/>
          </w:tcPr>
          <w:p>
            <w:pPr>
              <w:pStyle w:val="TableContents"/>
              <w:bidi w:val="0"/>
              <w:spacing w:before="0" w:after="283"/>
              <w:jc w:val="left"/>
              <w:rPr/>
            </w:pPr>
            <w:r>
              <w:rPr/>
              <w:t> </w:t>
            </w:r>
          </w:p>
        </w:tc>
        <w:tc>
          <w:tcPr>
            <w:tcW w:w="16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30,890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      Guarantees and collateral granted in connection with financing arrangements</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These commitments mainly comprise:</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 xml:space="preserve">a joint guarantee granted by Pasqal SAS to Investissement Québec in connection with the CAD 15,000 thousand loan entered into by Pasqal Canada; </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a corporate guarantee granted by Pasqal SAS in connection with the USD 15,000 thousand loan entered into by Pasqal USA with the Illinois Finance Authority; and</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a chattel mortgage granted by Pasqal Canada in connection with the Investissement Québec loan for CAD 15,000 thousand.</w:t>
      </w:r>
    </w:p>
    <w:p>
      <w:pPr>
        <w:pStyle w:val="TextBody"/>
        <w:keepNext w:val="false"/>
        <w:pageBreakBefore w:val="false"/>
        <w:widowControl/>
        <w:pBdr/>
        <w:bidi w:val="0"/>
        <w:spacing w:before="12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     Other commitments given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These commitments mainly comprise:</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commitment granted to BDC Capital Inc. in connection with the Aeponyx promissory note amounting to CAD 3,000 thousand (approximately €1,863 thousand) as of December 31, 2025; and</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commitments and guarantees entered into in connection with strategic commercial agreements, notably the first demand bank guarantee issued in relation to the contract with Saudi Arabian Oil Company (“Aramco”), amounting to 9,189 thousand as of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29.2. Commitments received</w:t>
      </w:r>
    </w:p>
    <w:tbl>
      <w:tblPr>
        <w:tblW w:w="7900" w:type="dxa"/>
        <w:jc w:val="left"/>
        <w:tblInd w:w="0" w:type="dxa"/>
        <w:tblLayout w:type="fixed"/>
        <w:tblCellMar>
          <w:top w:w="0" w:type="dxa"/>
          <w:left w:w="0" w:type="dxa"/>
          <w:bottom w:w="0" w:type="dxa"/>
          <w:right w:w="0" w:type="dxa"/>
        </w:tblCellMar>
      </w:tblPr>
      <w:tblGrid>
        <w:gridCol w:w="4291"/>
        <w:gridCol w:w="146"/>
        <w:gridCol w:w="1636"/>
        <w:gridCol w:w="146"/>
        <w:gridCol w:w="1681"/>
      </w:tblGrid>
      <w:tr>
        <w:trPr/>
        <w:tc>
          <w:tcPr>
            <w:tcW w:w="4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Investissement Québec facility</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6,029</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14,314</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Illinois Finance Authority facility</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7,671</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Korean government grant facility</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11,168</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24,868</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14,314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had access to an undrawn credit facility with Investissement Québec amounting to CAD 9,704 thousand, out of a total available facility of CAD 15,000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benefits from a financing arrangement with the Illinois Finance Authority totaling USD 15,000 thousand, of which USD 6,000 thousand had been drawn as of December 31, 2025, leaving USD 9,000 thousand available for future drawdown.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has access to the residual undrawn portion of the cash grant agreement entered into with the Korean Government on November 7, 2025, for a maximum total amount of KRW 24 billion (approximately €14,000 thousand), of which €2,832 thousand had been received as of December 31, 2025 and recognized as deferred income (see Notes 2.1.5 and 15). The undrawn portion remains available subject to the Group’s continued compliance with the conditions of the agreement, including committed investment expenditures, employment targets and use of funds for eligible cost categories.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30. Changes in net working capital related to operating activities</w:t>
      </w:r>
    </w:p>
    <w:tbl>
      <w:tblPr>
        <w:tblW w:w="10205" w:type="dxa"/>
        <w:jc w:val="left"/>
        <w:tblInd w:w="0" w:type="dxa"/>
        <w:tblLayout w:type="fixed"/>
        <w:tblCellMar>
          <w:top w:w="0" w:type="dxa"/>
          <w:left w:w="0" w:type="dxa"/>
          <w:bottom w:w="0" w:type="dxa"/>
          <w:right w:w="0" w:type="dxa"/>
        </w:tblCellMar>
      </w:tblPr>
      <w:tblGrid>
        <w:gridCol w:w="6609"/>
        <w:gridCol w:w="146"/>
        <w:gridCol w:w="1298"/>
        <w:gridCol w:w="330"/>
        <w:gridCol w:w="146"/>
        <w:gridCol w:w="1285"/>
        <w:gridCol w:w="391"/>
      </w:tblGrid>
      <w:tr>
        <w:trPr/>
        <w:tc>
          <w:tcPr>
            <w:tcW w:w="660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OPERATING ACTIVITIES</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net loss</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(92,355</w:t>
            </w:r>
          </w:p>
        </w:tc>
        <w:tc>
          <w:tcPr>
            <w:tcW w:w="330"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(48,498</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PPE, amortization of intangible assets and impairments</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6,868</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provisions</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(4,092</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4,878</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Equity-settled share-based payments &amp; other personnel expense(1)</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9,666</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2,353</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34,931</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and losses on disposal of assets</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 – non-cash items</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3,385</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1,685</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 non-cash items</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operating working capital</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14,336</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2,037</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generated from operations</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(24,270</w:t>
            </w:r>
          </w:p>
        </w:tc>
        <w:tc>
          <w:tcPr>
            <w:tcW w:w="33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(29,922</w:t>
            </w:r>
          </w:p>
        </w:tc>
        <w:tc>
          <w:tcPr>
            <w:tcW w:w="39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Includes equity-settled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share-based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payment expense for €9,475 thousand (€1,970 thousand in 2024) and expense relating to post-combination</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services in relation with the MCF acquisition for €191 thousand (€383 thousand in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operating working capital is disclosed below:</w:t>
      </w:r>
    </w:p>
    <w:tbl>
      <w:tblPr>
        <w:tblW w:w="8858" w:type="dxa"/>
        <w:jc w:val="left"/>
        <w:tblInd w:w="0" w:type="dxa"/>
        <w:tblLayout w:type="fixed"/>
        <w:tblCellMar>
          <w:top w:w="0" w:type="dxa"/>
          <w:left w:w="0" w:type="dxa"/>
          <w:bottom w:w="0" w:type="dxa"/>
          <w:right w:w="0" w:type="dxa"/>
        </w:tblCellMar>
      </w:tblPr>
      <w:tblGrid>
        <w:gridCol w:w="5251"/>
        <w:gridCol w:w="146"/>
        <w:gridCol w:w="1294"/>
        <w:gridCol w:w="341"/>
        <w:gridCol w:w="146"/>
        <w:gridCol w:w="1248"/>
        <w:gridCol w:w="432"/>
      </w:tblGrid>
      <w:tr>
        <w:trPr/>
        <w:tc>
          <w:tcPr>
            <w:tcW w:w="52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 in operating working capital</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14,336</w:t>
            </w:r>
          </w:p>
        </w:tc>
        <w:tc>
          <w:tcPr>
            <w:tcW w:w="3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2,037</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networking capital for operating activities</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14,336</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2,037</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inventories</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3,379</w:t>
            </w:r>
          </w:p>
        </w:tc>
        <w:tc>
          <w:tcPr>
            <w:tcW w:w="3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(8,641</w:t>
            </w:r>
          </w:p>
        </w:tc>
        <w:tc>
          <w:tcPr>
            <w:tcW w:w="4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trade receivables and related accounts</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(3,469</w:t>
            </w:r>
          </w:p>
        </w:tc>
        <w:tc>
          <w:tcPr>
            <w:tcW w:w="3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(1,912</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other receivables</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3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w:t>
            </w:r>
          </w:p>
        </w:tc>
        <w:tc>
          <w:tcPr>
            <w:tcW w:w="4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trade payables and related accounts</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3,835</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contract liabilities</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9,997</w:t>
            </w:r>
          </w:p>
        </w:tc>
        <w:tc>
          <w:tcPr>
            <w:tcW w:w="3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14,155</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other liabilities</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31. Events after the reporting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events occurred after the reporting date and do not provide evidence of conditions that existed as of December 31, 2025. Accordingly, they have not been reflected in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31.1.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Subsequent to December 31, 2025, the technical milestone underlying the issuance of 55,384 Milestone Shares in connection with the Aeponyx acquisition was successfully achieved. As a result, the issuance of these shares is expected to occur prior to the contractual deadline of August 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event will be reflected in the Group’s consolidated financial statements for the year ending December 31, 2026. See Notes 17, 18 and 33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31. Events after the reporting period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31.2.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the Group entered into a Business Combination Agreement with a special purpose acquisition company (“SPAC”), pursuant to which the Group is expected to become a publicly listed company upon completion of the transaction, subject to the satisfaction of customary closing conditions, regulatory approvals and approval by the SPAC shareholders. As part of this agreement, Pasqal shareholders will receive shares in the combined entity based on an exchange ratio established by reference to the relative equity values of the two parties at the time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Agreement had not been completed as of December 31, 2025, and does not affect the consolidated financial statements for the year then ended.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31.3. Group reorganization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Subsequent to December 31, 2025, the Group initiated a legal and operational reorganization project intended to evolve its organizational structure and ownership framework in connection with its anticipated business combination.</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project was formalized through agreements entered into on February 28, 2026. It provides, in particular, for the establishment of a holding company, Pasqal Holding SAS, intended to become the parent company of the Group, as well as the reorganization of certain activities within dedicated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connection with the implementation of this reorganization, Wasiq Bokhari was appointed President of Pasqal Holding SAS and Loic Henriet managing director of Pasqal Holding SAS. As a result, following completion of the reorganization, Pasqal Holding SAS is expected to assume overall governance and strategic oversight of the Group.</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legal and operational implementation of the reorganization is expected to occur during the first half of 2026 and will involve intragroup transactions, including capital restructuring steps.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this reorganization, the Aeponyx documentation has been updated to enable the exchange of Aeponyx shares against Pasqal Holding SAS shares instead of Pasqal SAS shares.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these events occurred after the reporting date and do not affect the existence of control as of December 31, 2025, they have no impact on the consolidated financial statements for the year then ended. However, had this transaction been completed prior to the issuance of these financial statements, they would have impacted the potential fully diluted number of shares. The accounting effects of the reorganization will be reflected in the consolidated financial statements of the periods in which the relevant transactions are legally completed.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continuation of the capital increase program initiated in December 2025, the Group proceeded with additional subscriptions of Series C Shares during January and February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total of 499,769 Series C Shares were issued over this period, generating proceeds of €69,738 thousand. Following these Series C issuances, and upon completion of the Qualified Equity Financing as contractually defined in the ORA agreements, the ORAs were automatically redeemed in Series C Shares on March 2,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result of this redemption, a total of 682,448 Series C Shares were issued to ORA holders on March 2, 2026. The ORAs were derecognized upon conversion into equity instruments, with the corresponding amount reclassified from financial liabilities to equity.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31. Events after the reporting period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2026, in connection with the planned Business Combination, Bleichroeder and Merger Sub entered into a securities purchase agreement with certain investors (the “March 2026 Financing,” previously referred to herein as the “Pre-PIPE”), pursuant to which such investors agreed, subject to customary closing conditions, to purchase a minimum aggregate subscription amount of $250.0 million of New Pasqal Convertible Bonds and to receive warrants to subscribe for a number of New Pasqal ordinary shares equal to 125% of the shares into which the New Pasqal Convertible Bonds are initially convertible, at an exercise price of $12.00 per share (the “Investment Warrants”), for an aggregate purchase price of $200.0 million, reflecting a 20% original issue discount. The New Pasqal Convertible Bonds will bear interest at 10% per annum payable in cash or 12% per annum payable in kind and will be convertible into New Pasqal ordinary shares at $12.00 per share. Moreover, on May 23, 2026, the Supervisory Committee acknowledged an increase in the investment under the SPA Pre-Pipe framework by an amount of up to USD 50 million in accordance with the existing contractual provisions of the SPA Pre-Pipe agreement. This event constitutes a non-adjusting subsequent event.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31.5. Geopolitical and macroeconomic context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Group has operations in Saudi Arabia and holds current assets located in the region with a carrying amount of €694 thousand as of December 31, 2025, it has not identified any material impact on its consolidated financial statements as of the reporting date, whether arising directly from its presence in the country or indirectly from the escalation of the conflict in February 2026, which may have broader implications for global economic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Nevertheless, the Group continues to closely monitor developments in the region and remains prepared to take all appropriate measures necessary to mitigate any potential impact of the conflict on its financial position, financial performance and financial outlook.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reporting date, the Group estimates that its future commercial backlog in the region amounts to approximately €16,658 thousand.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32. Other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and December 31, 2025, the Group’s scope of consolidation includes the following subsidiaries:</w:t>
      </w:r>
    </w:p>
    <w:tbl>
      <w:tblPr>
        <w:tblW w:w="10205" w:type="dxa"/>
        <w:jc w:val="left"/>
        <w:tblInd w:w="0" w:type="dxa"/>
        <w:tblLayout w:type="fixed"/>
        <w:tblCellMar>
          <w:top w:w="0" w:type="dxa"/>
          <w:left w:w="0" w:type="dxa"/>
          <w:bottom w:w="0" w:type="dxa"/>
          <w:right w:w="0" w:type="dxa"/>
        </w:tblCellMar>
      </w:tblPr>
      <w:tblGrid>
        <w:gridCol w:w="2637"/>
        <w:gridCol w:w="146"/>
        <w:gridCol w:w="1633"/>
        <w:gridCol w:w="146"/>
        <w:gridCol w:w="976"/>
        <w:gridCol w:w="146"/>
        <w:gridCol w:w="1603"/>
        <w:gridCol w:w="146"/>
        <w:gridCol w:w="976"/>
        <w:gridCol w:w="146"/>
        <w:gridCol w:w="1650"/>
      </w:tblGrid>
      <w:tr>
        <w:trPr/>
        <w:tc>
          <w:tcPr>
            <w:tcW w:w="2637"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Entities</w:t>
            </w:r>
          </w:p>
        </w:tc>
        <w:tc>
          <w:tcPr>
            <w:tcW w:w="146" w:type="dxa"/>
            <w:vMerge w:val="restart"/>
            <w:tcBorders/>
            <w:vAlign w:val="bottom"/>
          </w:tcPr>
          <w:p>
            <w:pPr>
              <w:pStyle w:val="TableContents"/>
              <w:bidi w:val="0"/>
              <w:spacing w:before="0" w:after="283"/>
              <w:jc w:val="left"/>
              <w:rPr/>
            </w:pPr>
            <w:r>
              <w:rPr/>
              <w:t> </w:t>
            </w:r>
          </w:p>
        </w:tc>
        <w:tc>
          <w:tcPr>
            <w:tcW w:w="1633"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Geographical </w:t>
              <w:br/>
              <w:t>area</w:t>
            </w:r>
          </w:p>
        </w:tc>
        <w:tc>
          <w:tcPr>
            <w:tcW w:w="146" w:type="dxa"/>
            <w:vMerge w:val="restart"/>
            <w:tcBorders/>
            <w:vAlign w:val="bottom"/>
          </w:tcPr>
          <w:p>
            <w:pPr>
              <w:pStyle w:val="TableContents"/>
              <w:bidi w:val="0"/>
              <w:spacing w:before="0" w:after="283"/>
              <w:jc w:val="left"/>
              <w:rPr/>
            </w:pPr>
            <w:r>
              <w:rPr/>
              <w:t> </w:t>
            </w:r>
          </w:p>
        </w:tc>
        <w:tc>
          <w:tcPr>
            <w:tcW w:w="272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77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637"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3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interest</w:t>
            </w:r>
          </w:p>
        </w:tc>
        <w:tc>
          <w:tcPr>
            <w:tcW w:w="146" w:type="dxa"/>
            <w:tcBorders/>
            <w:vAlign w:val="bottom"/>
          </w:tcPr>
          <w:p>
            <w:pPr>
              <w:pStyle w:val="TableContents"/>
              <w:bidi w:val="0"/>
              <w:spacing w:before="0" w:after="283"/>
              <w:jc w:val="left"/>
              <w:rPr/>
            </w:pPr>
            <w:r>
              <w:rPr/>
              <w:t> </w:t>
            </w:r>
          </w:p>
        </w:tc>
        <w:tc>
          <w:tcPr>
            <w:tcW w:w="160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Consolidation </w:t>
              <w:br/>
              <w:t>method</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interest</w:t>
            </w:r>
          </w:p>
        </w:tc>
        <w:tc>
          <w:tcPr>
            <w:tcW w:w="146" w:type="dxa"/>
            <w:tcBorders/>
            <w:vAlign w:val="bottom"/>
          </w:tcPr>
          <w:p>
            <w:pPr>
              <w:pStyle w:val="TableContents"/>
              <w:bidi w:val="0"/>
              <w:spacing w:before="0" w:after="283"/>
              <w:jc w:val="left"/>
              <w:rPr/>
            </w:pPr>
            <w:r>
              <w:rPr/>
              <w:t> </w:t>
            </w:r>
          </w:p>
        </w:tc>
        <w:tc>
          <w:tcPr>
            <w:tcW w:w="165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Consolidation </w:t>
              <w:br/>
              <w:t>method</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SAS</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Saudi Arabia</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Saudi Arabia</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Canada Inc.</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Aeponyx Entreprises Inc.</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Photonic Integrated Circuits Inc.</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Korea</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 Korea</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USA Inc.</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QuandCo Solutions GmbH(3)</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NC(2)</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Japan(3)</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NC(2)</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Netherlands(3)</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Netherlands</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NC(2)</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UK Ltd(3)</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NC(2)</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xml:space="preserve">(1)      Fully Consolidated.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xml:space="preserve">(2)      Non Consolidated.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(3)      See Note 2.1.1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33. Revision to prior period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preparation of these consolidated financial statements for the year ended December 31, 2025, the Group identified a revision which impacts the consolidated financial statements for the year ended December 31, 2024 related to the measurement of the consideration transferred in connection with the acquisition of Aeponyx Inc. (“Aeponyx”), completed on July 29,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acquisition date, the consideration transferred, consisting of fixed and contingent Pasqal shares to be issued, had initially been measured based on the undiscounted implied value of the shares to be issued rather than at fair value, as required by IFRS 3 “Business Combinations” and IFRS 13 “Fair Value Measurement”.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goodwill and the related financial liability were overstated by €767 thousand at the acquisition date. In addition, the subsequent remeasurement of the financial liability recognized in profit or loss for the year ended December 31, 2024 was understated by €180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Applying the SEC Staff Accounting Bulletin No. 99, “Materiality”, the Group determined that these revisions were not material to the previously issued FY2024 financial statements individually or in the aggregate, but that it was appropriate to revise the comparative information included in the 2025 Form F-4 (including the December 31, 2024 balance sheet, statements of changes in equity and statement of profit or loss). We have revised the consolidated statement of financial position, consolidated statement of changes in equity and consolidated statement of profit or loss, Note 7, Note 17 and Note 18 as of December 31, 2024. These revisions had no effect on other comprehensive income or our statement of cash flows for the year ended December 31,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financial position as of December 31, 2024</w:t>
      </w:r>
    </w:p>
    <w:tbl>
      <w:tblPr>
        <w:tblW w:w="7877" w:type="dxa"/>
        <w:jc w:val="left"/>
        <w:tblInd w:w="0" w:type="dxa"/>
        <w:tblLayout w:type="fixed"/>
        <w:tblCellMar>
          <w:top w:w="0" w:type="dxa"/>
          <w:left w:w="0" w:type="dxa"/>
          <w:bottom w:w="0" w:type="dxa"/>
          <w:right w:w="0" w:type="dxa"/>
        </w:tblCellMar>
      </w:tblPr>
      <w:tblGrid>
        <w:gridCol w:w="3076"/>
        <w:gridCol w:w="146"/>
        <w:gridCol w:w="1330"/>
        <w:gridCol w:w="260"/>
        <w:gridCol w:w="146"/>
        <w:gridCol w:w="1049"/>
        <w:gridCol w:w="422"/>
        <w:gridCol w:w="146"/>
        <w:gridCol w:w="1051"/>
        <w:gridCol w:w="251"/>
      </w:tblGrid>
      <w:tr>
        <w:trPr/>
        <w:tc>
          <w:tcPr>
            <w:tcW w:w="30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previously </w:t>
              <w:br/>
              <w:t>reported</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13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revised</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20,800</w:t>
            </w:r>
          </w:p>
        </w:tc>
        <w:tc>
          <w:tcPr>
            <w:tcW w:w="2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w:t>
            </w:r>
          </w:p>
        </w:tc>
        <w:tc>
          <w:tcPr>
            <w:tcW w:w="4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20,033</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assets</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87,062</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w:t>
            </w:r>
          </w:p>
        </w:tc>
        <w:tc>
          <w:tcPr>
            <w:tcW w:w="4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86,294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126,774</w:t>
            </w:r>
          </w:p>
        </w:tc>
        <w:tc>
          <w:tcPr>
            <w:tcW w:w="2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(767</w:t>
            </w:r>
          </w:p>
        </w:tc>
        <w:tc>
          <w:tcPr>
            <w:tcW w:w="42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126,007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liabilities(1)</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15,500</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w:t>
            </w:r>
          </w:p>
        </w:tc>
        <w:tc>
          <w:tcPr>
            <w:tcW w:w="4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liabilities</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45,341</w:t>
            </w:r>
          </w:p>
        </w:tc>
        <w:tc>
          <w:tcPr>
            <w:tcW w:w="2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w:t>
            </w:r>
          </w:p>
        </w:tc>
        <w:tc>
          <w:tcPr>
            <w:tcW w:w="4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44,754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93,920</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(587</w:t>
            </w:r>
          </w:p>
        </w:tc>
        <w:tc>
          <w:tcPr>
            <w:tcW w:w="42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93,333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year(1)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(48,318</w:t>
            </w:r>
          </w:p>
        </w:tc>
        <w:tc>
          <w:tcPr>
            <w:tcW w:w="26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42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(48,498</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133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32,853</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w:t>
            </w:r>
          </w:p>
        </w:tc>
        <w:tc>
          <w:tcPr>
            <w:tcW w:w="42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32,674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profit or loss for the year ended December 31, 2024</w:t>
      </w:r>
    </w:p>
    <w:tbl>
      <w:tblPr>
        <w:tblW w:w="10162" w:type="dxa"/>
        <w:jc w:val="left"/>
        <w:tblInd w:w="0" w:type="dxa"/>
        <w:tblLayout w:type="fixed"/>
        <w:tblCellMar>
          <w:top w:w="0" w:type="dxa"/>
          <w:left w:w="0" w:type="dxa"/>
          <w:bottom w:w="0" w:type="dxa"/>
          <w:right w:w="0" w:type="dxa"/>
        </w:tblCellMar>
      </w:tblPr>
      <w:tblGrid>
        <w:gridCol w:w="5356"/>
        <w:gridCol w:w="146"/>
        <w:gridCol w:w="1268"/>
        <w:gridCol w:w="322"/>
        <w:gridCol w:w="146"/>
        <w:gridCol w:w="1060"/>
        <w:gridCol w:w="411"/>
        <w:gridCol w:w="146"/>
        <w:gridCol w:w="1006"/>
        <w:gridCol w:w="301"/>
      </w:tblGrid>
      <w:tr>
        <w:trPr/>
        <w:tc>
          <w:tcPr>
            <w:tcW w:w="5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previously </w:t>
              <w:br/>
              <w:t>reported</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revised</w:t>
            </w:r>
          </w:p>
        </w:tc>
      </w:tr>
      <w:tr>
        <w:trPr/>
        <w:tc>
          <w:tcPr>
            <w:tcW w:w="5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FVTPL(1)</w:t>
            </w:r>
          </w:p>
        </w:tc>
        <w:tc>
          <w:tcPr>
            <w:tcW w:w="146"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4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tax</w:t>
            </w:r>
          </w:p>
        </w:tc>
        <w:tc>
          <w:tcPr>
            <w:tcW w:w="146" w:type="dxa"/>
            <w:tcBorders/>
            <w:vAlign w:val="bottom"/>
          </w:tcPr>
          <w:p>
            <w:pPr>
              <w:pStyle w:val="TableContents"/>
              <w:bidi w:val="0"/>
              <w:spacing w:before="0" w:after="283"/>
              <w:jc w:val="left"/>
              <w:rPr/>
            </w:pPr>
            <w:r>
              <w:rPr/>
              <w:t> </w:t>
            </w:r>
          </w:p>
        </w:tc>
        <w:tc>
          <w:tcPr>
            <w:tcW w:w="12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(48,665</w:t>
            </w:r>
          </w:p>
        </w:tc>
        <w:tc>
          <w:tcPr>
            <w:tcW w:w="3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(48,844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year</w:t>
            </w:r>
          </w:p>
        </w:tc>
        <w:tc>
          <w:tcPr>
            <w:tcW w:w="146"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(48,318</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w:t>
            </w:r>
          </w:p>
        </w:tc>
        <w:tc>
          <w:tcPr>
            <w:tcW w:w="4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(48,498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Represents the revision related to the fair value of the consideration transferred in connection with the acquisition of Aeponyx (see Notes 7.1, 17 and 18).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6.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French law, provisions of by-laws that limit the liability of directors are prohibited. However, French law allows </w:t>
      </w:r>
      <w:r>
        <w:rPr>
          <w:rFonts w:ascii="Times New Roman PS Std;serif" w:hAnsi="Times New Roman PS Std;serif"/>
          <w:b w:val="false"/>
          <w:i/>
          <w:caps w:val="false"/>
          <w:smallCaps w:val="false"/>
          <w:sz w:val="20"/>
        </w:rPr>
        <w:t>sociétés anonymes</w:t>
      </w:r>
      <w:r>
        <w:rPr>
          <w:rFonts w:ascii="Times New Roman PS Std;serif" w:hAnsi="Times New Roman PS Std;serif"/>
          <w:b w:val="false"/>
          <w:i w:val="false"/>
          <w:caps w:val="false"/>
          <w:smallCaps w:val="false"/>
          <w:sz w:val="20"/>
        </w:rPr>
        <w:t xml:space="preserve"> to contract for and maintain liability insurance against civil liabilities incurred by any of their directors and officers involved in a third-party action, provided that they acted in good faith and within their capacities as directors or officers of the Company. Criminal liability cannot be indemnified under French law, whether directly by the Company or through liability insurance.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liability insurance for our directors and officers, including insurance against liability under the Securities Act, and we have to entered into agreements with our directors and executive officers to provide contractual indemnification. With certain exceptions and subject to limitations on indemnification under French law, these agreements provide for indemnification for damages and expenses including, among other things, attorneys’ fees, judgments, fines and settlement amounts incurred by any of these individuals in any action or proceeding arising out of his or her actions in that capacity.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agreements may discourage shareholders from bringing a lawsuit against our directors and executive officers for breach of their fiduciary duty. These provisions also may have the effect of reducing the likelihood of derivative litigation against directors and executive officers, even though such an action, if successful, might otherwise benefit us and our shareholders. Furthermore, a shareholder’s investment may be adversely affected to the extent we pay the costs of settlement and damage awards against directors and officers pursuant to these insurance agreements.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7. Recent Sales of Unregistered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Closing Date, we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Unsecured Convertible Bonds and Investor Warrants initially convertible and exercisable for an aggregate of 58,593,750 New Pasqal Ordinary Shares, subject to adjustment, at an initial exercise price of $12.00 per share, subject to adjustment, pursuant to the March 2026 SPA, for an aggregate purchase price of $250.0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securities were issued pursuant to the exemption from registration contained in Section 4(a)(2) of the Securities Act of 1933, as amended. Each acquiror is an accredited investor for purposes of Rule 501 of Regulation 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8. Exhibits and Financial Statement Schedules.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Exhibits.</w:t>
      </w:r>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vAlign w:val="bottom"/>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
              <w:r>
                <w:rPr>
                  <w:rStyle w:val="InternetLink"/>
                  <w:rFonts w:ascii="Times New Roman PS Std;serif" w:hAnsi="Times New Roman PS Std;serif"/>
                  <w:b w:val="false"/>
                  <w:i w:val="false"/>
                  <w:caps w:val="false"/>
                  <w:smallCaps w:val="false"/>
                  <w:sz w:val="20"/>
                </w:rPr>
                <w:t>Business Combination Agreement, dated as of February 28, 2026, by and among Bleichroeder Acquisition Corp. II, Bleichroeder Acquisition 2 France and Pasqal Holding SAS (incorporated by reference to Exhibit 2.1 to Bleichroeder Acquisition Corp. II’s Current Report on Form 8-K filed with the SEC on March 5, 2026).</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"http://www.sec.gov/Archives/edgar/data/2088295/000121390026061033/ea0282861-02.htm" \l "T2410"</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Amendment No. 1 to the Agreement and Plan of Merger and Assignment and Assumption Agreement, dated as of May 26, 2026, by and among Bleichroeder Acquisition Corp. II, Bleichroeder Acquisition France Merger Sub 2, Bleichroeder Acquisition 2 France and Pasqal Holding SAS (incorporated by reference to Annex A-1 to the Company’s Registration Statement on Form F-4, as amended (File No. 333-296239)).</w:t>
            </w:r>
            <w:r>
              <w:rPr>
                <w:rStyle w:val="InternetLink"/>
                <w:smallCaps w:val="false"/>
                <w:caps w:val="false"/>
                <w:sz w:val="20"/>
                <w:i w:val="false"/>
                <w:b w:val="false"/>
                <w:rFonts w:ascii="Times New Roman PS Std;serif" w:hAnsi="Times New Roman PS Std;serif"/>
              </w:rPr>
              <w:fldChar w:fldCharType="end"/>
            </w:r>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"http://www.sec.gov/Archives/edgar/data/2088295/000121390026084072/ea0282861-08.htm" \l "T1010"</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Amendment No. 2 to the Agreement and Plan of Merger, dated as of June 25, 2026, by and among Bleichroeder Acquisition Corp. II, Bleichroeder Acquisition France Merger Sub 2, Bleichroeder Acquisition 2 France and Pasqal Holding SAS (incorporated by reference to Annex A-2 to the Company’s Registration Statement on Form F-4, as amended (File No. 333-296239)).</w:t>
            </w:r>
            <w:r>
              <w:rPr>
                <w:rStyle w:val="InternetLink"/>
                <w:smallCaps w:val="false"/>
                <w:caps w:val="false"/>
                <w:sz w:val="20"/>
                <w:i w:val="false"/>
                <w:b w:val="false"/>
                <w:rFonts w:ascii="Times New Roman PS Std;serif" w:hAnsi="Times New Roman PS Std;serif"/>
              </w:rPr>
              <w:fldChar w:fldCharType="end"/>
            </w:r>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"http://www.sec.gov/Archives/edgar/data/2088295/000121390026080591/ea0282861-06.htm" \l "T2001"</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Amendment No. 3 to the Agreement and Plan of Merger, dated as of July 22, 2026, by and among Bleichroeder Acquisition Corp. II, Bleichroeder Acquisition France Merger Sub 2 and Pasqal Holding SAS (incorporated by reference to Annex A-3 to the Company’s Registration Statement on Form F-4, as amended (File No. 333-296239)).</w:t>
            </w:r>
            <w:r>
              <w:rPr>
                <w:rStyle w:val="InternetLink"/>
                <w:smallCaps w:val="false"/>
                <w:caps w:val="false"/>
                <w:sz w:val="20"/>
                <w:i w:val="false"/>
                <w:b w:val="false"/>
                <w:rFonts w:ascii="Times New Roman PS Std;serif" w:hAnsi="Times New Roman PS Std;serif"/>
              </w:rPr>
              <w:fldChar w:fldCharType="end"/>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vAlign w:val="bottom"/>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
              <w:r>
                <w:rPr>
                  <w:rStyle w:val="InternetLink"/>
                  <w:rFonts w:ascii="Times New Roman PS Std;serif" w:hAnsi="Times New Roman PS Std;serif"/>
                  <w:b w:val="false"/>
                  <w:i w:val="false"/>
                  <w:caps w:val="false"/>
                  <w:smallCaps w:val="false"/>
                  <w:sz w:val="20"/>
                </w:rPr>
                <w:t>Reincorporation Plan of Merger, by and between Bleichroeder Acquisition Corp. II and Bleichroeder Acquisition France Merger Sub 2 (incorporated by reference to Annex B to the Company’s proxy statement/prospectus supplement no. 1 filed pursuant to Rule 424(b)(3) on August 14, 2026 (File No. 333-296239)).</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"http://www.sec.gov/Archives/edgar/data/2088295/000121390026084072/ea0282861-08.htm" \l "T18002"</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French Merger Agreement (Traité de Fusion-Absorption), by and between Bleichroeder Acquisition France Merger Sub 2 and Pasqal Holding SAS (English translation) (incorporated by reference to Annex C to the Company’s Registration Statement on Form F-4, as amended (File No. 333-296239)).</w:t>
            </w:r>
            <w:r>
              <w:rPr>
                <w:rStyle w:val="InternetLink"/>
                <w:smallCaps w:val="false"/>
                <w:caps w:val="false"/>
                <w:sz w:val="20"/>
                <w:i w:val="false"/>
                <w:b w:val="false"/>
                <w:rFonts w:ascii="Times New Roman PS Std;serif" w:hAnsi="Times New Roman PS Std;serif"/>
              </w:rPr>
              <w:fldChar w:fldCharType="end"/>
            </w:r>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4">
              <w:r>
                <w:rPr>
                  <w:rStyle w:val="InternetLink"/>
                  <w:rFonts w:ascii="Times New Roman PS Std;serif" w:hAnsi="Times New Roman PS Std;serif"/>
                  <w:b w:val="false"/>
                  <w:i w:val="false"/>
                  <w:caps w:val="false"/>
                  <w:smallCaps w:val="false"/>
                  <w:sz w:val="20"/>
                </w:rPr>
                <w:t>Amendment No. 1 to the French Merger Agreement, by and between Bleichroeder Acquisition France Merger Sub 2 and Pasqal Holding SAS (English translation) dated July 27, 2026 (incorporated by reference to Exhibit 4.6(b) of the Company’s Form 20-F filed on September 2, 2026).</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5">
              <w:r>
                <w:rPr>
                  <w:rStyle w:val="InternetLink"/>
                  <w:rFonts w:ascii="Times New Roman PS Std;serif" w:hAnsi="Times New Roman PS Std;serif"/>
                  <w:b w:val="false"/>
                  <w:i w:val="false"/>
                  <w:caps w:val="false"/>
                  <w:smallCaps w:val="false"/>
                  <w:sz w:val="20"/>
                </w:rPr>
                <w:t>Amended and Restated Articles of Association (</w:t>
              </w:r>
            </w:hyperlink>
            <w:hyperlink r:id="rId6">
              <w:r>
                <w:rPr>
                  <w:rStyle w:val="InternetLink"/>
                  <w:rFonts w:ascii="Times New Roman PS Std;serif" w:hAnsi="Times New Roman PS Std;serif"/>
                  <w:b w:val="false"/>
                  <w:i/>
                  <w:caps w:val="false"/>
                  <w:smallCaps w:val="false"/>
                  <w:sz w:val="20"/>
                </w:rPr>
                <w:t>Statuts</w:t>
              </w:r>
            </w:hyperlink>
            <w:hyperlink r:id="rId7">
              <w:r>
                <w:rPr>
                  <w:rStyle w:val="InternetLink"/>
                  <w:rFonts w:ascii="Times New Roman PS Std;serif" w:hAnsi="Times New Roman PS Std;serif"/>
                  <w:b w:val="false"/>
                  <w:i w:val="false"/>
                  <w:caps w:val="false"/>
                  <w:smallCaps w:val="false"/>
                  <w:sz w:val="20"/>
                </w:rPr>
                <w:t>) of Pasqal Holding SA, dated August 27, 2026 (English translation) (incorporated by reference to Exhibit 1.1 of the Company’s Form 20-F filed on September 2, 2026).</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8">
              <w:r>
                <w:rPr>
                  <w:rStyle w:val="InternetLink"/>
                  <w:rFonts w:ascii="Times New Roman PS Std;serif" w:hAnsi="Times New Roman PS Std;serif"/>
                  <w:b w:val="false"/>
                  <w:i w:val="false"/>
                  <w:caps w:val="false"/>
                  <w:smallCaps w:val="false"/>
                  <w:sz w:val="20"/>
                </w:rPr>
                <w:t>Internal Regulations of the Board of Directors of Pasqal Holding SA, dated August 28, 2026. (incorporated by reference to Exhibit 1.2 of the Company’s Form 20-F filed on September 2, 2026).</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9">
              <w:r>
                <w:rPr>
                  <w:rStyle w:val="InternetLink"/>
                  <w:rFonts w:ascii="Times New Roman PS Std;serif" w:hAnsi="Times New Roman PS Std;serif"/>
                  <w:b w:val="false"/>
                  <w:i w:val="false"/>
                  <w:caps w:val="false"/>
                  <w:smallCaps w:val="false"/>
                  <w:sz w:val="20"/>
                </w:rPr>
                <w:t>Warrant Agreement, dated January 7, 2026, between Continental Stock Transfer &amp; Trust Company and Bleichroeder Acquisition Corp. II (incorporated by reference to Exhibit 4.1 to Bleichroeder Acquisition Corp. II’s Current Report on Form 8-K filed with the SEC on January 9, 2026).</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10">
              <w:r>
                <w:rPr>
                  <w:rStyle w:val="InternetLink"/>
                  <w:rFonts w:ascii="Times New Roman PS Std;serif" w:hAnsi="Times New Roman PS Std;serif"/>
                  <w:b w:val="false"/>
                  <w:i w:val="false"/>
                  <w:caps w:val="false"/>
                  <w:smallCaps w:val="false"/>
                  <w:sz w:val="20"/>
                </w:rPr>
                <w:t>Warrant Amendment Agreement, dated August 27, 2026, by and among Pasqal Holding SA, Computershare Inc., Computershare Trust Company, N.A. and Continental Stock Transfer &amp; Trust Company (incorporated by reference to Exhibit 2.2 of the Company’s Form 20-F filed on September 2, 2026).</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11">
              <w:r>
                <w:rPr>
                  <w:rStyle w:val="InternetLink"/>
                  <w:rFonts w:ascii="Times New Roman PS Std;serif" w:hAnsi="Times New Roman PS Std;serif"/>
                  <w:b w:val="false"/>
                  <w:i w:val="false"/>
                  <w:caps w:val="false"/>
                  <w:smallCaps w:val="false"/>
                  <w:sz w:val="20"/>
                </w:rPr>
                <w:t>Terms and Conditions of the Senior Unsecured Convertible Bonds of Pasqal Holding SA (incorporated by reference to Exhibit 2.3 of the Company’s Form 20-F filed on September 2, 2026).</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12">
              <w:r>
                <w:rPr>
                  <w:rStyle w:val="InternetLink"/>
                  <w:rFonts w:ascii="Times New Roman PS Std;serif" w:hAnsi="Times New Roman PS Std;serif"/>
                  <w:b w:val="false"/>
                  <w:i w:val="false"/>
                  <w:caps w:val="false"/>
                  <w:smallCaps w:val="false"/>
                  <w:sz w:val="20"/>
                </w:rPr>
                <w:t>Terms and Conditions of the Investment Warrants of Pasqal Holding SA. (incorporated by reference to Exhibit 2.4 of the Company’s Form 20-F filed on September 2, 2026).</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13">
              <w:r>
                <w:rPr>
                  <w:rStyle w:val="InternetLink"/>
                  <w:rFonts w:ascii="Times New Roman PS Std;serif" w:hAnsi="Times New Roman PS Std;serif"/>
                  <w:b w:val="false"/>
                  <w:i w:val="false"/>
                  <w:caps w:val="false"/>
                  <w:smallCaps w:val="false"/>
                  <w:sz w:val="20"/>
                </w:rPr>
                <w:t>Opinion of Orrick, Herrington &amp; Sutcliffe LLP with respect to the legality of the securities being offered.</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"http://www.sec.gov/Archives/edgar/data/2088295/000121390026084072/ea0282861-08.htm" \l "T22202"</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Sponsor Support Agreement, dated as of February 28, 2026, by and among Bleichroeder Acquisition Corp. II, Bleichroeder Acquisition 2 France, Bleichroeder Sponsor 2 LLC and the other parties thereto (incorporated by reference to Annex D to the Company’s Registration Statement on Form F-4, as amended (File No. 333-296239)).</w:t>
            </w:r>
            <w:r>
              <w:rPr>
                <w:rStyle w:val="InternetLink"/>
                <w:smallCaps w:val="false"/>
                <w:caps w:val="false"/>
                <w:sz w:val="20"/>
                <w:i w:val="false"/>
                <w:b w:val="false"/>
                <w:rFonts w:ascii="Times New Roman PS Std;serif" w:hAnsi="Times New Roman PS Std;serif"/>
              </w:rPr>
              <w:fldChar w:fldCharType="end"/>
            </w:r>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14">
              <w:r>
                <w:rPr>
                  <w:rStyle w:val="InternetLink"/>
                  <w:rFonts w:ascii="Times New Roman PS Std;serif" w:hAnsi="Times New Roman PS Std;serif"/>
                  <w:b w:val="false"/>
                  <w:i w:val="false"/>
                  <w:caps w:val="false"/>
                  <w:smallCaps w:val="false"/>
                  <w:sz w:val="20"/>
                </w:rPr>
                <w:t>Company Support Agreement, dated as of February 28, 2026, by and among Bleichroeder Acquisition Corp. II, Bleichroeder Acquisition 2 France and the supporting shareholders of Pasqal Holding SAS party thereto (incorporated by reference to Exhibit 4.8 of the Company’s Form 20-F filed on September 2, 2026).</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"http://www.sec.gov/Archives/edgar/data/2088295/000121390026084072/ea0282861-08.htm" \l "T22204"</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Form of Lock-Up Agreement by and among Pasqal Holding SA, Bleichroeder Sponsor 2 LLC and the shareholders, directors and officers party thereto (incorporated by reference to Annex F to the Company’s Registration Statement on Form F-4, as amended (File No. 333-296239)).</w:t>
            </w:r>
            <w:r>
              <w:rPr>
                <w:rStyle w:val="InternetLink"/>
                <w:smallCaps w:val="false"/>
                <w:caps w:val="false"/>
                <w:sz w:val="20"/>
                <w:i w:val="false"/>
                <w:b w:val="false"/>
                <w:rFonts w:ascii="Times New Roman PS Std;serif" w:hAnsi="Times New Roman PS Std;serif"/>
              </w:rPr>
              <w:fldChar w:fldCharType="end"/>
            </w:r>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15">
              <w:r>
                <w:rPr>
                  <w:rStyle w:val="InternetLink"/>
                  <w:rFonts w:ascii="Times New Roman PS Std;serif" w:hAnsi="Times New Roman PS Std;serif"/>
                  <w:b w:val="false"/>
                  <w:i w:val="false"/>
                  <w:caps w:val="false"/>
                  <w:smallCaps w:val="false"/>
                  <w:sz w:val="20"/>
                </w:rPr>
                <w:t>Amended and Restated Registration Rights Agreement, dated August 27, 2026, by and among Pasqal Holding SA, Bleichroeder Sponsor 2 LLC and the other holders party thereto (incorporated by reference to Exhibit 4.10 of the Company’s Form 20-F filed on September 2, 2026).</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16">
              <w:r>
                <w:rPr>
                  <w:rStyle w:val="InternetLink"/>
                  <w:rFonts w:ascii="Times New Roman PS Std;serif" w:hAnsi="Times New Roman PS Std;serif"/>
                  <w:b w:val="false"/>
                  <w:i w:val="false"/>
                  <w:caps w:val="false"/>
                  <w:smallCaps w:val="false"/>
                  <w:sz w:val="20"/>
                </w:rPr>
                <w:t>Securities Purchase Agreement, dated as of March 4, 2026, by and among Bleichroeder Acquisition Corp. II, Bleichroeder Acquisition 2 France and the investors party thereto (incorporated by reference to Exhibit 10.5 to Bleichroeder Acquisition Corp. II’s Current Report on Form 8-K filed with the SEC on March 5, 2026).</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17">
              <w:r>
                <w:rPr>
                  <w:rStyle w:val="InternetLink"/>
                  <w:rFonts w:ascii="Times New Roman PS Std;serif" w:hAnsi="Times New Roman PS Std;serif"/>
                  <w:b w:val="false"/>
                  <w:i w:val="false"/>
                  <w:caps w:val="false"/>
                  <w:smallCaps w:val="false"/>
                  <w:sz w:val="20"/>
                </w:rPr>
                <w:t>Amendment No. 1 to Securities Purchase Agreement, dated as of May 23, 2026, by and among Bleichroeder Acquisition Corp. II, Bleichroeder Acquisition 2 France, Inflection Point Fund I, LP and the other purchasers party thereto (incorporated by reference to Exhibit 10.1 to Bleichroeder Acquisition Corp. II’s Current Report on Form 8-K filed with the SEC on May 26, 2026).</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18">
              <w:r>
                <w:rPr>
                  <w:rStyle w:val="InternetLink"/>
                  <w:rFonts w:ascii="Times New Roman PS Std;serif" w:hAnsi="Times New Roman PS Std;serif"/>
                  <w:b w:val="false"/>
                  <w:i w:val="false"/>
                  <w:caps w:val="false"/>
                  <w:smallCaps w:val="false"/>
                  <w:sz w:val="20"/>
                </w:rPr>
                <w:t>Letter Agreement Relating to Board Representation Rights, dated August 27, 2026, by and between Pasqal Holding SA and Bpifrance (incorporated by reference to Exhibit 4.13 of the Company’s Form 20-F filed on September 2, 2026).</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19">
              <w:r>
                <w:rPr>
                  <w:rStyle w:val="InternetLink"/>
                  <w:rFonts w:ascii="Times New Roman PS Std;serif" w:hAnsi="Times New Roman PS Std;serif"/>
                  <w:b w:val="false"/>
                  <w:i w:val="false"/>
                  <w:caps w:val="false"/>
                  <w:smallCaps w:val="false"/>
                  <w:sz w:val="20"/>
                </w:rPr>
                <w:t>Letter Agreement Relating to Board Representation Rights, dated August 27, 2026, by and between Pasqal Holding SA and EIC Fund (incorporated by reference to Exhibit 4.14 of the Company’s Form 20-F filed on September 2, 2026).</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vAlign w:val="bottom"/>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0">
              <w:r>
                <w:rPr>
                  <w:rStyle w:val="InternetLink"/>
                  <w:rFonts w:ascii="Times New Roman PS Std;serif" w:hAnsi="Times New Roman PS Std;serif"/>
                  <w:b w:val="false"/>
                  <w:i w:val="false"/>
                  <w:caps w:val="false"/>
                  <w:smallCaps w:val="false"/>
                  <w:sz w:val="20"/>
                </w:rPr>
                <w:t>Letter Agreement Relating to Board Observer Rights, dated August 27, 2026, by and between Pasqal Holding SA and MC Advisory (incorporated by reference to Exhibit 4.15 of the Company’s Form 20-F filed on September 2, 2026).</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1">
              <w:r>
                <w:rPr>
                  <w:rStyle w:val="InternetLink"/>
                  <w:rFonts w:ascii="Times New Roman PS Std;serif" w:hAnsi="Times New Roman PS Std;serif"/>
                  <w:b w:val="false"/>
                  <w:i w:val="false"/>
                  <w:caps w:val="false"/>
                  <w:smallCaps w:val="false"/>
                  <w:sz w:val="20"/>
                </w:rPr>
                <w:t>Business Allocation Agreement, dated as of July 16, 2026, by and between Pasqal Holding SAS and Pasqal SAS (incorporated by reference to Exhibit 10.23 to the Company’s Registration Statement on Form F-4, as amended (File No. 333-296239)).</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2">
              <w:r>
                <w:rPr>
                  <w:rStyle w:val="InternetLink"/>
                  <w:rFonts w:ascii="Times New Roman PS Std;serif" w:hAnsi="Times New Roman PS Std;serif"/>
                  <w:b w:val="false"/>
                  <w:i w:val="false"/>
                  <w:caps w:val="false"/>
                  <w:smallCaps w:val="false"/>
                  <w:sz w:val="20"/>
                </w:rPr>
                <w:t>Form of Indemnification Agreement between Pasqal Holding SA and each of its directors and executive officers (incorporated by reference to Exhibit 10.21 to the Company’s Registration Statement on Form F-4, as amended (File No. 333-296239)).</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3">
              <w:r>
                <w:rPr>
                  <w:rStyle w:val="InternetLink"/>
                  <w:rFonts w:ascii="Times New Roman PS Std;serif" w:hAnsi="Times New Roman PS Std;serif"/>
                  <w:b w:val="false"/>
                  <w:i w:val="false"/>
                  <w:caps w:val="false"/>
                  <w:smallCaps w:val="false"/>
                  <w:sz w:val="20"/>
                </w:rPr>
                <w:t>Pasqal Holding SA 2026 Restricted Stock Units Plan and related form agreements (incorporated by reference to Exhibit 4.18 of the Company’s Form 20-F filed on September 2, 2026)</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4">
              <w:r>
                <w:rPr>
                  <w:rStyle w:val="InternetLink"/>
                  <w:rFonts w:ascii="Times New Roman PS Std;serif" w:hAnsi="Times New Roman PS Std;serif"/>
                  <w:b w:val="false"/>
                  <w:i w:val="false"/>
                  <w:caps w:val="false"/>
                  <w:smallCaps w:val="false"/>
                  <w:sz w:val="20"/>
                </w:rPr>
                <w:t>Pasqal Holding SA 2026 BSPCE Plan and related form agreements (incorporated by reference to Exhibit 10.14 to the Company’s Registration Statement on Form F-4, as amended (File No. 333-296239)).</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5">
              <w:r>
                <w:rPr>
                  <w:rStyle w:val="InternetLink"/>
                  <w:rFonts w:ascii="Times New Roman PS Std;serif" w:hAnsi="Times New Roman PS Std;serif"/>
                  <w:b w:val="false"/>
                  <w:i w:val="false"/>
                  <w:caps w:val="false"/>
                  <w:smallCaps w:val="false"/>
                  <w:sz w:val="20"/>
                </w:rPr>
                <w:t>Pasqal Holding SA 2026 Options Plan and related form agreements (incorporated by reference to Exhibit 10.13 to the Company’s Registration Statement on Form F-4, as amended (File No. 333-296239)).</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6">
              <w:r>
                <w:rPr>
                  <w:rStyle w:val="InternetLink"/>
                  <w:rFonts w:ascii="Times New Roman PS Std;serif" w:hAnsi="Times New Roman PS Std;serif"/>
                  <w:b w:val="false"/>
                  <w:i w:val="false"/>
                  <w:caps w:val="false"/>
                  <w:smallCaps w:val="false"/>
                  <w:sz w:val="20"/>
                </w:rPr>
                <w:t>Corporate Mandate Agreement (Contrat de Mandat Social), by and between Pasqal Holding SA and Wasiq Bokhari (English translation) (incorporated by reference to Exhibit 4.21 of the Company’s Form 20-F filed on September 2, 2026).</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7">
              <w:r>
                <w:rPr>
                  <w:rStyle w:val="InternetLink"/>
                  <w:rFonts w:ascii="Times New Roman PS Std;serif" w:hAnsi="Times New Roman PS Std;serif"/>
                  <w:b w:val="false"/>
                  <w:i w:val="false"/>
                  <w:caps w:val="false"/>
                  <w:smallCaps w:val="false"/>
                  <w:sz w:val="20"/>
                </w:rPr>
                <w:t>Corporate Mandate Agreement (Contrat de Mandat Social), dated as of July 22, 2026, by and between Pasqal SAS and Loïc Henriet (English translation) (incorporated by reference to Exhibit 10.28 to the Company’s Registration Statement on Form F-4, as amended (File No. 333-296239)).</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8">
              <w:r>
                <w:rPr>
                  <w:rStyle w:val="InternetLink"/>
                  <w:rFonts w:ascii="Times New Roman PS Std;serif" w:hAnsi="Times New Roman PS Std;serif"/>
                  <w:b w:val="false"/>
                  <w:i w:val="false"/>
                  <w:caps w:val="false"/>
                  <w:smallCaps w:val="false"/>
                  <w:sz w:val="20"/>
                </w:rPr>
                <w:t>Employment Agreement (Contrat à Durée Indéterminée), dated as of June 19, 2026, by and between Pasqal Holding SA and Stéphane Rougeot (English translation) (incorporated by reference to Exhibit 10.29 to the Company’s Registration Statement on Form F-4, as amended (File No. 333-296239)).</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9">
              <w:r>
                <w:rPr>
                  <w:rStyle w:val="InternetLink"/>
                  <w:rFonts w:ascii="Times New Roman PS Std;serif" w:hAnsi="Times New Roman PS Std;serif"/>
                  <w:b w:val="false"/>
                  <w:i w:val="false"/>
                  <w:caps w:val="false"/>
                  <w:smallCaps w:val="false"/>
                  <w:sz w:val="20"/>
                </w:rPr>
                <w:t>Form of Legacy Pasqal BSPCE plan for Wasiq Bokhari (incorporated by reference to Exhibit 10.31 to the Company’s Registration Statement on Form F-4, as amended (File No. 333-296239)).</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0">
              <w:r>
                <w:rPr>
                  <w:rStyle w:val="InternetLink"/>
                  <w:rFonts w:ascii="Times New Roman PS Std;serif" w:hAnsi="Times New Roman PS Std;serif"/>
                  <w:b w:val="false"/>
                  <w:i w:val="false"/>
                  <w:caps w:val="false"/>
                  <w:smallCaps w:val="false"/>
                  <w:sz w:val="20"/>
                </w:rPr>
                <w:t>Form of Legacy Pasqal BSPCE plan for Loic Henriet (incorporated by reference to Exhibit 10.32 to the Company’s Registration Statement on Form F-4, as amended (File No. 333-296239)).</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1">
              <w:r>
                <w:rPr>
                  <w:rStyle w:val="InternetLink"/>
                  <w:rFonts w:ascii="Times New Roman PS Std;serif" w:hAnsi="Times New Roman PS Std;serif"/>
                  <w:b w:val="false"/>
                  <w:i w:val="false"/>
                  <w:caps w:val="false"/>
                  <w:smallCaps w:val="false"/>
                  <w:sz w:val="20"/>
                </w:rPr>
                <w:t>Form of Legacy Pasqal BSPCE plans for employees. (incorporated by reference to Exhibit 10.17 to the Company’s Registration Statement on Form F-4, as amended (File No. 333-296239)).</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2">
              <w:r>
                <w:rPr>
                  <w:rStyle w:val="InternetLink"/>
                  <w:rFonts w:ascii="Times New Roman PS Std;serif" w:hAnsi="Times New Roman PS Std;serif"/>
                  <w:b w:val="false"/>
                  <w:i w:val="false"/>
                  <w:caps w:val="false"/>
                  <w:smallCaps w:val="false"/>
                  <w:sz w:val="20"/>
                </w:rPr>
                <w:t>Form of Share Appreciation Rights concluded in 2025 with Pasqal and its subsidiary (as amended) (incorporated by reference to Exhibit 10.15.a to the Company’s Registration Statement on Form F-4, as amended (File No. 333-296239)).</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3">
              <w:r>
                <w:rPr>
                  <w:rStyle w:val="InternetLink"/>
                  <w:rFonts w:ascii="Times New Roman PS Std;serif" w:hAnsi="Times New Roman PS Std;serif"/>
                  <w:b w:val="false"/>
                  <w:i w:val="false"/>
                  <w:caps w:val="false"/>
                  <w:smallCaps w:val="false"/>
                  <w:sz w:val="20"/>
                </w:rPr>
                <w:t>Form of Share Appreciation Rights concluded in 2025 with Pasqal (as amended) (incorporated by reference to Exhibit 10.15.b to the Company’s Registration Statement on Form F-4, as amended (File No. 333-296239)).</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4">
              <w:r>
                <w:rPr>
                  <w:rStyle w:val="InternetLink"/>
                  <w:rFonts w:ascii="Times New Roman PS Std;serif" w:hAnsi="Times New Roman PS Std;serif"/>
                  <w:b w:val="false"/>
                  <w:i w:val="false"/>
                  <w:caps w:val="false"/>
                  <w:smallCaps w:val="false"/>
                  <w:sz w:val="20"/>
                </w:rPr>
                <w:t>Form of Share Appreciation Rights concluded in 2022 with Pasqal and its subsidiary (as amended) (incorporated by reference to Exhibit 10.16.a to the Company’s Registration Statement on Form F-4, as amended (File No. 333-296239)).</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5">
              <w:r>
                <w:rPr>
                  <w:rStyle w:val="InternetLink"/>
                  <w:rFonts w:ascii="Times New Roman PS Std;serif" w:hAnsi="Times New Roman PS Std;serif"/>
                  <w:b w:val="false"/>
                  <w:i w:val="false"/>
                  <w:caps w:val="false"/>
                  <w:smallCaps w:val="false"/>
                  <w:sz w:val="20"/>
                </w:rPr>
                <w:t>Form of Share Appreciation Rights concluded in 2025 with Pasqal and its subsidiary (as amended) (incorporated by reference to Exhibit 10.16.b to the Company’s Registration Statement on Form F-4, as amended (File No. 333-296239)).</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6">
              <w:r>
                <w:rPr>
                  <w:rStyle w:val="InternetLink"/>
                  <w:rFonts w:ascii="Times New Roman PS Std;serif" w:hAnsi="Times New Roman PS Std;serif"/>
                  <w:b w:val="false"/>
                  <w:i w:val="false"/>
                  <w:caps w:val="false"/>
                  <w:smallCaps w:val="false"/>
                  <w:sz w:val="20"/>
                </w:rPr>
                <w:t>Form of Share Appreciation Rights concluded in 2025 with Pasqal (as amended) (incorporated by reference to Exhibit 10.16.c to the Company’s Registration Statement on Form F-4, as amended (File No. 333-296239)).</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7">
              <w:r>
                <w:rPr>
                  <w:rStyle w:val="InternetLink"/>
                  <w:rFonts w:ascii="Times New Roman PS Std;serif" w:hAnsi="Times New Roman PS Std;serif"/>
                  <w:b w:val="false"/>
                  <w:i w:val="false"/>
                  <w:caps w:val="false"/>
                  <w:smallCaps w:val="false"/>
                  <w:sz w:val="20"/>
                </w:rPr>
                <w:t>Commercial Lease Agreement (Bail Commercial) entered into between JMB DEVELOPPEMENT and Pasqal SAS on December 21, 2023, as amended. (English translation) (incorporated by reference to Exhibit 10.22 to the Company’s Registration Statement on Form F-4, as amended (File No. 333-296239)).</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10.27†</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8">
              <w:r>
                <w:rPr>
                  <w:rStyle w:val="InternetLink"/>
                  <w:rFonts w:ascii="Times New Roman PS Std;serif" w:hAnsi="Times New Roman PS Std;serif"/>
                  <w:b w:val="false"/>
                  <w:i w:val="false"/>
                  <w:caps w:val="false"/>
                  <w:smallCaps w:val="false"/>
                  <w:sz w:val="20"/>
                </w:rPr>
                <w:t>Company Support Agreement, dated as of February 28, 2026, by and among Legacy Pasqal, Bleichroeder Acquisition Corp. II, Bleichroeder Acquisition 2 France and FPS Fonds Innovation Défense (incorporated by reference to Exhibit 4.33 of the Company’s Form 20-F filed on September 2, 2026).</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9">
              <w:r>
                <w:rPr>
                  <w:rStyle w:val="InternetLink"/>
                  <w:rFonts w:ascii="Times New Roman PS Std;serif" w:hAnsi="Times New Roman PS Std;serif"/>
                  <w:b w:val="false"/>
                  <w:i w:val="false"/>
                  <w:caps w:val="false"/>
                  <w:smallCaps w:val="false"/>
                  <w:sz w:val="20"/>
                </w:rPr>
                <w:t>List of subsidiaries of Pasqal Holding SA (incorporated by reference to Exhibit 8.1 of the Company’s Form 20-F filed on September 2, 2026).</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40">
              <w:r>
                <w:rPr>
                  <w:rStyle w:val="InternetLink"/>
                  <w:rFonts w:ascii="Times New Roman PS Std;serif" w:hAnsi="Times New Roman PS Std;serif"/>
                  <w:b w:val="false"/>
                  <w:i w:val="false"/>
                  <w:caps w:val="false"/>
                  <w:smallCaps w:val="false"/>
                  <w:sz w:val="20"/>
                </w:rPr>
                <w:t>Consent of Orrick, Herrington &amp; Sutcliffe LLP (included in Exhibit 5.1 to this Registration Statement).</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vAlign w:val="bottom"/>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w:anchor="ea030468103ex23-2.htm">
              <w:r>
                <w:rPr>
                  <w:rStyle w:val="InternetLink"/>
                  <w:rFonts w:ascii="Times New Roman PS Std;serif" w:hAnsi="Times New Roman PS Std;serif"/>
                  <w:b w:val="false"/>
                  <w:i w:val="false"/>
                  <w:caps w:val="false"/>
                  <w:smallCaps w:val="false"/>
                  <w:sz w:val="20"/>
                </w:rPr>
                <w:t>Consent of PricewaterhouseCoopers Audit, independent registered public accounting firm of Pasqal SAS.</w:t>
              </w:r>
            </w:hyperlink>
          </w:p>
        </w:tc>
      </w:tr>
      <w:tr>
        <w:trPr/>
        <w:tc>
          <w:tcPr>
            <w:tcW w:w="10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w:anchor="ea030468103ex23-3.htm">
              <w:r>
                <w:rPr>
                  <w:rStyle w:val="InternetLink"/>
                  <w:rFonts w:ascii="Times New Roman PS Std;serif" w:hAnsi="Times New Roman PS Std;serif"/>
                  <w:b w:val="false"/>
                  <w:i w:val="false"/>
                  <w:caps w:val="false"/>
                  <w:smallCaps w:val="false"/>
                  <w:sz w:val="20"/>
                </w:rPr>
                <w:t>Consent of WithumSmith+Brown, PC, independent registered public accounting firm of Bleichroeder Acquisition Corp. II.</w:t>
              </w:r>
            </w:hyperlink>
          </w:p>
        </w:tc>
      </w:tr>
      <w:tr>
        <w:trPr/>
        <w:tc>
          <w:tcPr>
            <w:tcW w:w="10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41">
              <w:r>
                <w:rPr>
                  <w:rStyle w:val="InternetLink"/>
                  <w:rFonts w:ascii="Times New Roman PS Std;serif" w:hAnsi="Times New Roman PS Std;serif"/>
                  <w:b w:val="false"/>
                  <w:i w:val="false"/>
                  <w:caps w:val="false"/>
                  <w:smallCaps w:val="false"/>
                  <w:sz w:val="20"/>
                </w:rPr>
                <w:t>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Previously filed.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Indicates management contract or compensatory plan or arrangement.</w:t>
      </w:r>
    </w:p>
    <w:p>
      <w:pPr>
        <w:pStyle w:val="TextBody"/>
        <w:keepNext w:val="false"/>
        <w:pageBreakBefore w:val="false"/>
        <w:widowControl/>
        <w:pBdr/>
        <w:bidi w:val="0"/>
        <w:spacing w:before="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Certain of the exhibits and schedules to this Exhibit have been omitted in accordance with Regulation S-K Item 601(a)(5). The Registrant agrees to furnish a copy of all omitted exhibits and schedules to the SEC upon its request.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Financial Statement Schedules.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Schedules not listed above have been omitted because the information required to be set forth therein is not applicable or is shown in the financial statements or notes thereto.</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9. Undertakings.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 of 1933;</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PS Std;serif" w:hAnsi="Times New Roman PS Std;serif"/>
          <w:b w:val="false"/>
          <w:i/>
          <w:caps w:val="false"/>
          <w:smallCaps w:val="false"/>
          <w:sz w:val="20"/>
        </w:rPr>
        <w:t>bona fide</w:t>
      </w:r>
      <w:r>
        <w:rPr>
          <w:rFonts w:ascii="Times New Roman PS Std;serif" w:hAnsi="Times New Roman PS Std;serif"/>
          <w:b w:val="false"/>
          <w:i w:val="false"/>
          <w:caps w:val="false"/>
          <w:smallCaps w:val="false"/>
          <w:sz w:val="20"/>
        </w:rPr>
        <w:t>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under the Securities Act of 1933 to any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PS Std;serif" w:hAnsi="Times New Roman PS Std;serif"/>
          <w:b w:val="false"/>
          <w:i/>
          <w:caps w:val="false"/>
          <w:smallCaps w:val="false"/>
          <w:sz w:val="20"/>
        </w:rPr>
        <w:t>bona fide</w:t>
      </w:r>
      <w:r>
        <w:rPr>
          <w:rFonts w:ascii="Times New Roman PS Std;serif" w:hAnsi="Times New Roman PS Std;serif"/>
          <w:b w:val="false"/>
          <w:i w:val="false"/>
          <w:caps w:val="false"/>
          <w:smallCaps w:val="false"/>
          <w:sz w:val="20"/>
        </w:rPr>
        <w:t> offering thereof. </w:t>
      </w:r>
      <w:r>
        <w:rPr>
          <w:rFonts w:ascii="Times New Roman PS Std;serif" w:hAnsi="Times New Roman PS Std;serif"/>
          <w:b w:val="false"/>
          <w:i/>
          <w:caps w:val="false"/>
          <w:smallCaps w:val="false"/>
          <w:sz w:val="20"/>
        </w:rPr>
        <w:t>Provided, however,</w:t>
      </w:r>
      <w:r>
        <w:rPr>
          <w:rFonts w:ascii="Times New Roman PS Std;serif" w:hAnsi="Times New Roman PS Std;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the Company has duly caused this Registration Statement to be signed on its behalf by the undersigned, thereunto duly authorized in the City of Paris, France, on this 2nd day of October, 2026.</w:t>
      </w:r>
    </w:p>
    <w:tbl>
      <w:tblPr>
        <w:tblW w:w="3260" w:type="dxa"/>
        <w:jc w:val="left"/>
        <w:tblInd w:w="0" w:type="dxa"/>
        <w:tblLayout w:type="fixed"/>
        <w:tblCellMar>
          <w:top w:w="0" w:type="dxa"/>
          <w:left w:w="0" w:type="dxa"/>
          <w:bottom w:w="0" w:type="dxa"/>
          <w:right w:w="0" w:type="dxa"/>
        </w:tblCellMar>
      </w:tblPr>
      <w:tblGrid>
        <w:gridCol w:w="161"/>
        <w:gridCol w:w="146"/>
        <w:gridCol w:w="421"/>
        <w:gridCol w:w="146"/>
        <w:gridCol w:w="238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53" w:type="dxa"/>
            <w:gridSpan w:val="3"/>
            <w:tcBorders/>
            <w:vAlign w:val="bottom"/>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Wasiq Bokhari</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Wasiq Bokhari</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this registration statement has been signed by the following persons in the capacities and on the dates indicated.</w:t>
      </w:r>
    </w:p>
    <w:tbl>
      <w:tblPr>
        <w:tblW w:w="10205" w:type="dxa"/>
        <w:jc w:val="left"/>
        <w:tblInd w:w="0" w:type="dxa"/>
        <w:tblLayout w:type="fixed"/>
        <w:tblCellMar>
          <w:top w:w="0" w:type="dxa"/>
          <w:left w:w="0" w:type="dxa"/>
          <w:bottom w:w="0" w:type="dxa"/>
          <w:right w:w="0" w:type="dxa"/>
        </w:tblCellMar>
      </w:tblPr>
      <w:tblGrid>
        <w:gridCol w:w="4939"/>
        <w:gridCol w:w="146"/>
        <w:gridCol w:w="3480"/>
        <w:gridCol w:w="146"/>
        <w:gridCol w:w="1494"/>
      </w:tblGrid>
      <w:tr>
        <w:trPr/>
        <w:tc>
          <w:tcPr>
            <w:tcW w:w="493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4939"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Wasiq Bokhari</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 2026</w:t>
            </w:r>
          </w:p>
        </w:tc>
      </w:tr>
      <w:tr>
        <w:trPr/>
        <w:tc>
          <w:tcPr>
            <w:tcW w:w="493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Wasiq Bokhari</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Principal Executive Officer</w:t>
            </w: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left"/>
              <w:rPr/>
            </w:pPr>
            <w:r>
              <w:rPr/>
              <w:t> </w:t>
            </w:r>
          </w:p>
        </w:tc>
      </w:tr>
      <w:tr>
        <w:trPr/>
        <w:tc>
          <w:tcPr>
            <w:tcW w:w="4939"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Stéphane Rougeot</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 2026</w:t>
            </w:r>
          </w:p>
        </w:tc>
      </w:tr>
      <w:tr>
        <w:trPr/>
        <w:tc>
          <w:tcPr>
            <w:tcW w:w="493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Stéphane Rougeot</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Principal Financial and Accounting Officer</w:t>
            </w: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left"/>
              <w:rPr/>
            </w:pPr>
            <w:r>
              <w:rPr/>
              <w:t> </w:t>
            </w:r>
          </w:p>
        </w:tc>
      </w:tr>
      <w:tr>
        <w:trPr/>
        <w:tc>
          <w:tcPr>
            <w:tcW w:w="4939"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Georges-Olivier Reymond</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 2026</w:t>
            </w:r>
          </w:p>
        </w:tc>
      </w:tr>
      <w:tr>
        <w:trPr/>
        <w:tc>
          <w:tcPr>
            <w:tcW w:w="493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Georges-Olivier Reymond</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left"/>
              <w:rPr/>
            </w:pPr>
            <w:r>
              <w:rPr/>
              <w:t> </w:t>
            </w:r>
          </w:p>
        </w:tc>
      </w:tr>
      <w:tr>
        <w:trPr/>
        <w:tc>
          <w:tcPr>
            <w:tcW w:w="4939"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keepNext w:val="false"/>
              <w:widowControl/>
              <w:pBdr/>
              <w:bidi w:val="0"/>
              <w:spacing w:before="160" w:after="283"/>
              <w:jc w:val="center"/>
              <w:rPr>
                <w:caps w:val="false"/>
                <w:smallCaps w:val="false"/>
              </w:rPr>
            </w:pPr>
            <w:r>
              <w:rPr>
                <w:caps w:val="false"/>
                <w:smallCaps w:val="false"/>
              </w:rPr>
              <w:t> </w:t>
            </w:r>
          </w:p>
        </w:tc>
      </w:tr>
      <w:tr>
        <w:trPr/>
        <w:tc>
          <w:tcPr>
            <w:tcW w:w="493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Alain Aspect</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left"/>
              <w:rPr/>
            </w:pPr>
            <w:r>
              <w:rPr/>
              <w:t> </w:t>
            </w:r>
          </w:p>
        </w:tc>
      </w:tr>
      <w:tr>
        <w:trPr/>
        <w:tc>
          <w:tcPr>
            <w:tcW w:w="4939"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Andrew Gundlach</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 2026</w:t>
            </w:r>
          </w:p>
        </w:tc>
      </w:tr>
      <w:tr>
        <w:trPr/>
        <w:tc>
          <w:tcPr>
            <w:tcW w:w="493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Gundlach</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left"/>
              <w:rPr/>
            </w:pPr>
            <w:r>
              <w:rPr/>
              <w:t> </w:t>
            </w:r>
          </w:p>
        </w:tc>
      </w:tr>
      <w:tr>
        <w:trPr/>
        <w:tc>
          <w:tcPr>
            <w:tcW w:w="4939"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Michel Combes</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 2026</w:t>
            </w:r>
          </w:p>
        </w:tc>
      </w:tr>
      <w:tr>
        <w:trPr/>
        <w:tc>
          <w:tcPr>
            <w:tcW w:w="493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Michel Combes</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left"/>
              <w:rPr/>
            </w:pPr>
            <w:r>
              <w:rPr/>
              <w:t> </w:t>
            </w:r>
          </w:p>
        </w:tc>
      </w:tr>
      <w:tr>
        <w:trPr/>
        <w:tc>
          <w:tcPr>
            <w:tcW w:w="4939"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keepNext w:val="false"/>
              <w:widowControl/>
              <w:pBdr/>
              <w:bidi w:val="0"/>
              <w:spacing w:before="160" w:after="283"/>
              <w:jc w:val="center"/>
              <w:rPr>
                <w:caps w:val="false"/>
                <w:smallCaps w:val="false"/>
              </w:rPr>
            </w:pPr>
            <w:r>
              <w:rPr>
                <w:caps w:val="false"/>
                <w:smallCaps w:val="false"/>
              </w:rPr>
              <w:t> </w:t>
            </w:r>
          </w:p>
        </w:tc>
      </w:tr>
      <w:tr>
        <w:trPr/>
        <w:tc>
          <w:tcPr>
            <w:tcW w:w="493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Dalibard</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left"/>
              <w:rPr/>
            </w:pPr>
            <w:r>
              <w:rPr/>
              <w:t> </w:t>
            </w:r>
          </w:p>
        </w:tc>
      </w:tr>
      <w:tr>
        <w:trPr/>
        <w:tc>
          <w:tcPr>
            <w:tcW w:w="4939"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Blitzer</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 2026</w:t>
            </w:r>
          </w:p>
        </w:tc>
      </w:tr>
      <w:tr>
        <w:trPr/>
        <w:tc>
          <w:tcPr>
            <w:tcW w:w="493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left"/>
              <w:rPr/>
            </w:pPr>
            <w:r>
              <w:rPr/>
              <w:t> </w:t>
            </w:r>
          </w:p>
        </w:tc>
      </w:tr>
      <w:tr>
        <w:trPr/>
        <w:tc>
          <w:tcPr>
            <w:tcW w:w="4939"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Nicolas Berdou</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 2026</w:t>
            </w:r>
          </w:p>
        </w:tc>
      </w:tr>
      <w:tr>
        <w:trPr/>
        <w:tc>
          <w:tcPr>
            <w:tcW w:w="493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Bpifrance Investissement, represented by Mr. Nicolas Berdou</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left"/>
              <w:rPr/>
            </w:pPr>
            <w:r>
              <w:rPr/>
              <w:t> </w:t>
            </w:r>
          </w:p>
        </w:tc>
      </w:tr>
      <w:tr>
        <w:trPr/>
        <w:tc>
          <w:tcPr>
            <w:tcW w:w="4939"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Jean Raby</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 2026</w:t>
            </w:r>
          </w:p>
        </w:tc>
      </w:tr>
      <w:tr>
        <w:trPr/>
        <w:tc>
          <w:tcPr>
            <w:tcW w:w="493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Raby</w:t>
            </w:r>
          </w:p>
        </w:tc>
        <w:tc>
          <w:tcPr>
            <w:tcW w:w="146" w:type="dxa"/>
            <w:tcBorders/>
            <w:vAlign w:val="bottom"/>
          </w:tcPr>
          <w:p>
            <w:pPr>
              <w:pStyle w:val="TableContents"/>
              <w:bidi w:val="0"/>
              <w:spacing w:before="0" w:after="283"/>
              <w:jc w:val="left"/>
              <w:rPr/>
            </w:pPr>
            <w:r>
              <w:rPr/>
              <w:t> </w:t>
            </w:r>
          </w:p>
        </w:tc>
        <w:tc>
          <w:tcPr>
            <w:tcW w:w="34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U.S. REPRESENTATIVE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Section 6(a) of the Securities Act of 1933, the undersigned has signed this registration statement, solely in its capacity as the duly authorized representative of Pasqal Holding SA, in the United States, on October 2, 2026.</w:t>
      </w:r>
    </w:p>
    <w:tbl>
      <w:tblPr>
        <w:tblW w:w="6290" w:type="dxa"/>
        <w:jc w:val="left"/>
        <w:tblInd w:w="0" w:type="dxa"/>
        <w:tblLayout w:type="fixed"/>
        <w:tblCellMar>
          <w:top w:w="0" w:type="dxa"/>
          <w:left w:w="0" w:type="dxa"/>
          <w:bottom w:w="0" w:type="dxa"/>
          <w:right w:w="0" w:type="dxa"/>
        </w:tblCellMar>
      </w:tblPr>
      <w:tblGrid>
        <w:gridCol w:w="161"/>
        <w:gridCol w:w="146"/>
        <w:gridCol w:w="751"/>
        <w:gridCol w:w="146"/>
        <w:gridCol w:w="508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983"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Cogency Global Inc.</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83"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U.S. Representative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508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Colleen A. De Vries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50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Colleen A. De Vries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508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Sr. Vice President on behalf of Cogency Global Inc.</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II-7</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30468103ex23-2.htm"/>
      <w:bookmarkStart w:id="46" w:name="ksea030468103ex232"/>
      <w:bookmarkEnd w:id="45"/>
      <w:bookmarkEnd w:id="46"/>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this Registration Statement on Form F-1 of Pasqal Holding SA (formerly named Bleichroeder Acquisition France Merger Sub 2) of our report dated May 26, 2026, relating to the financial statements of Pasqal SAS and its subsidiaries, which appears in this Registration Statement. We also consent to the reference to us under the heading “Statement by Experts” in such Form F-1.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PricewaterhouseCoopers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Neuilly-sur-Seine, France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30468103ex23-3.htm"/>
      <w:bookmarkStart w:id="48" w:name="ksea030468103ex233"/>
      <w:bookmarkEnd w:id="47"/>
      <w:bookmarkEnd w:id="48"/>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Prospectus constituting a part of this Registration Statement on Amendment No.1 to Form F-1 of our report dated March 16, 2026, relating to the financial statements of Bleichroeder Acquisition Corp. II as of December 31, 2025 and for the period from August 27, 2025 (inception) through December 31, 2025. which is contained in this Registration Statement. We also consent to the reference to us under the caption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Brunswick,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88295/000121390026023839/ea027921801ex2-1.htm" TargetMode="External"/><Relationship Id="rId3" Type="http://schemas.openxmlformats.org/officeDocument/2006/relationships/hyperlink" Target="http://www.sec.gov/Archives/edgar/data/2088295/000121390026090313/ea0282861-12.htm" TargetMode="External"/><Relationship Id="rId4" Type="http://schemas.openxmlformats.org/officeDocument/2006/relationships/hyperlink" Target="http://www.sec.gov/Archives/edgar/data/2119292/000121390026096761/ea030376501ex4-6b.htm" TargetMode="External"/><Relationship Id="rId5" Type="http://schemas.openxmlformats.org/officeDocument/2006/relationships/hyperlink" Target="http://www.sec.gov/Archives/edgar/data/2119292/000121390026096761/ea030376501ex1-1.htm" TargetMode="External"/><Relationship Id="rId6" Type="http://schemas.openxmlformats.org/officeDocument/2006/relationships/hyperlink" Target="http://www.sec.gov/Archives/edgar/data/2119292/000121390026096761/ea030376501ex1-1.htm" TargetMode="External"/><Relationship Id="rId7" Type="http://schemas.openxmlformats.org/officeDocument/2006/relationships/hyperlink" Target="http://www.sec.gov/Archives/edgar/data/2119292/000121390026096761/ea030376501ex1-1.htm" TargetMode="External"/><Relationship Id="rId8" Type="http://schemas.openxmlformats.org/officeDocument/2006/relationships/hyperlink" Target="http://www.sec.gov/Archives/edgar/data/2119292/000121390026096761/ea030376501ex1-2.htm" TargetMode="External"/><Relationship Id="rId9" Type="http://schemas.openxmlformats.org/officeDocument/2006/relationships/hyperlink" Target="http://www.sec.gov/Archives/edgar/data/2088295/000121390026002963/ea027236801ex4-1_bleich2.htm" TargetMode="External"/><Relationship Id="rId10" Type="http://schemas.openxmlformats.org/officeDocument/2006/relationships/hyperlink" Target="http://www.sec.gov/Archives/edgar/data/2119292/000121390026096761/ea030376501ex2-2.htm" TargetMode="External"/><Relationship Id="rId11" Type="http://schemas.openxmlformats.org/officeDocument/2006/relationships/hyperlink" Target="http://www.sec.gov/Archives/edgar/data/2119292/000121390026096761/ea030376501ex2-3.htm" TargetMode="External"/><Relationship Id="rId12" Type="http://schemas.openxmlformats.org/officeDocument/2006/relationships/hyperlink" Target="http://www.sec.gov/Archives/edgar/data/2119292/000121390026096761/ea030376501ex2-4.htm" TargetMode="External"/><Relationship Id="rId13" Type="http://schemas.openxmlformats.org/officeDocument/2006/relationships/hyperlink" Target="http://www.sec.gov/Archives/edgar/data/2119292/000121390026098421/ea030468101ex5-1.htm" TargetMode="External"/><Relationship Id="rId14" Type="http://schemas.openxmlformats.org/officeDocument/2006/relationships/hyperlink" Target="http://www.sec.gov/Archives/edgar/data/2119292/000121390026096761/ea030376501ex4-8.htm" TargetMode="External"/><Relationship Id="rId15" Type="http://schemas.openxmlformats.org/officeDocument/2006/relationships/hyperlink" Target="http://www.sec.gov/Archives/edgar/data/2119292/000121390026096761/ea030376501ex4-10.htm" TargetMode="External"/><Relationship Id="rId16" Type="http://schemas.openxmlformats.org/officeDocument/2006/relationships/hyperlink" Target="http://www.sec.gov/Archives/edgar/data/2088295/000121390026023839/ea027921801ex10-5.htm" TargetMode="External"/><Relationship Id="rId17" Type="http://schemas.openxmlformats.org/officeDocument/2006/relationships/hyperlink" Target="http://www.sec.gov/Archives/edgar/data/2088295/000121390026061043/ea029211101ex10-1.htm" TargetMode="External"/><Relationship Id="rId18" Type="http://schemas.openxmlformats.org/officeDocument/2006/relationships/hyperlink" Target="http://www.sec.gov/Archives/edgar/data/2119292/000121390026096761/ea030376501ex4-13.htm" TargetMode="External"/><Relationship Id="rId19" Type="http://schemas.openxmlformats.org/officeDocument/2006/relationships/hyperlink" Target="http://www.sec.gov/Archives/edgar/data/2119292/000121390026096761/ea030376501ex4-14.htm" TargetMode="External"/><Relationship Id="rId20" Type="http://schemas.openxmlformats.org/officeDocument/2006/relationships/hyperlink" Target="http://www.sec.gov/Archives/edgar/data/2119292/000121390026096761/ea030376501ex4-15.htm" TargetMode="External"/><Relationship Id="rId21" Type="http://schemas.openxmlformats.org/officeDocument/2006/relationships/hyperlink" Target="http://www.sec.gov/Archives/edgar/data/2088295/000121390026080591/ea028286106ex10-23.htm" TargetMode="External"/><Relationship Id="rId22" Type="http://schemas.openxmlformats.org/officeDocument/2006/relationships/hyperlink" Target="http://www.sec.gov/Archives/edgar/data/2088295/000121390026080591/ea028286106ex10-21.htm" TargetMode="External"/><Relationship Id="rId23" Type="http://schemas.openxmlformats.org/officeDocument/2006/relationships/hyperlink" Target="http://www.sec.gov/Archives/edgar/data/2119292/000121390026096761/ea030376501ex4-18.htm" TargetMode="External"/><Relationship Id="rId24" Type="http://schemas.openxmlformats.org/officeDocument/2006/relationships/hyperlink" Target="http://www.sec.gov/Archives/edgar/data/2088295/000121390026080591/ea028286106ex10-14.htm" TargetMode="External"/><Relationship Id="rId25" Type="http://schemas.openxmlformats.org/officeDocument/2006/relationships/hyperlink" Target="http://www.sec.gov/Archives/edgar/data/2088295/000121390026080591/ea028286106ex10-13.htm" TargetMode="External"/><Relationship Id="rId26" Type="http://schemas.openxmlformats.org/officeDocument/2006/relationships/hyperlink" Target="http://www.sec.gov/Archives/edgar/data/2119292/000121390026096761/ea030376501ex4-21.htm" TargetMode="External"/><Relationship Id="rId27" Type="http://schemas.openxmlformats.org/officeDocument/2006/relationships/hyperlink" Target="http://www.sec.gov/Archives/edgar/data/2088295/000121390026080591/ea028286106ex10-28.htm" TargetMode="External"/><Relationship Id="rId28" Type="http://schemas.openxmlformats.org/officeDocument/2006/relationships/hyperlink" Target="http://www.sec.gov/Archives/edgar/data/2088295/000121390026080591/ea028286106ex10-29.htm" TargetMode="External"/><Relationship Id="rId29" Type="http://schemas.openxmlformats.org/officeDocument/2006/relationships/hyperlink" Target="http://www.sec.gov/Archives/edgar/data/2088295/000121390026080591/ea028286106ex10-31.htm" TargetMode="External"/><Relationship Id="rId30" Type="http://schemas.openxmlformats.org/officeDocument/2006/relationships/hyperlink" Target="http://www.sec.gov/Archives/edgar/data/2088295/000121390026080591/ea028286106ex10-32.htm" TargetMode="External"/><Relationship Id="rId31" Type="http://schemas.openxmlformats.org/officeDocument/2006/relationships/hyperlink" Target="http://www.sec.gov/Archives/edgar/data/2088295/000121390026080591/ea028286106ex10-17.htm" TargetMode="External"/><Relationship Id="rId32" Type="http://schemas.openxmlformats.org/officeDocument/2006/relationships/hyperlink" Target="http://www.sec.gov/Archives/edgar/data/2088295/000121390026080591/ea028286106ex10-15a.htm" TargetMode="External"/><Relationship Id="rId33" Type="http://schemas.openxmlformats.org/officeDocument/2006/relationships/hyperlink" Target="http://www.sec.gov/Archives/edgar/data/2088295/000121390026080591/ea028286106ex10-15b.htm" TargetMode="External"/><Relationship Id="rId34" Type="http://schemas.openxmlformats.org/officeDocument/2006/relationships/hyperlink" Target="http://www.sec.gov/Archives/edgar/data/2088295/000121390026080591/ea028286106ex10-16a.htm" TargetMode="External"/><Relationship Id="rId35" Type="http://schemas.openxmlformats.org/officeDocument/2006/relationships/hyperlink" Target="http://www.sec.gov/Archives/edgar/data/2088295/000121390026080591/ea028286106ex10-16b.htm" TargetMode="External"/><Relationship Id="rId36" Type="http://schemas.openxmlformats.org/officeDocument/2006/relationships/hyperlink" Target="http://www.sec.gov/Archives/edgar/data/2088295/000121390026080591/ea028286106ex10-16c.htm" TargetMode="External"/><Relationship Id="rId37" Type="http://schemas.openxmlformats.org/officeDocument/2006/relationships/hyperlink" Target="http://www.sec.gov/Archives/edgar/data/2088295/000121390026061033/ea028286102ex10-21.htm" TargetMode="External"/><Relationship Id="rId38" Type="http://schemas.openxmlformats.org/officeDocument/2006/relationships/hyperlink" Target="http://www.sec.gov/Archives/edgar/data/2119292/000121390026096761/ea030376501ex4-33.htm" TargetMode="External"/><Relationship Id="rId39" Type="http://schemas.openxmlformats.org/officeDocument/2006/relationships/hyperlink" Target="http://www.sec.gov/Archives/edgar/data/2119292/000121390026096761/ea030376501ex8-1.htm" TargetMode="External"/><Relationship Id="rId40" Type="http://schemas.openxmlformats.org/officeDocument/2006/relationships/hyperlink" Target="http://www.sec.gov/Archives/edgar/data/2119292/000121390026098421/ea030468101ex5-1.htm" TargetMode="External"/><Relationship Id="rId41" Type="http://schemas.openxmlformats.org/officeDocument/2006/relationships/hyperlink" Target="http://www.sec.gov/Archives/edgar/data/2119292/000121390026098421/ea030468101ex-fee.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314</Pages>
  <Words>177980</Words>
  <Characters>984654</Characters>
  <CharactersWithSpaces>1166255</CharactersWithSpaces>
  <Paragraphs>22392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