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Pasqal Holding SA</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EUR 0.02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08/27/2026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Quantonation I</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FRANCE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21,924,691.00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21,924,691.00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21,924,691.00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percent of class is based upon 212,293,691 ordinary shares of Pasqal Holding SAS (the "Issuer") outstanding as of September 1, 2026, as reported in the Issuer's registration statement on Form F-1 (No. 333-298830), filed with the Securities and Exchange Commission on September 1, 2026. (2) The reporting person is a French fonds professionnel de capital investissement.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2"/>
        <w:gridCol w:w="8173"/>
      </w:tblGrid>
      <w:tr>
        <w:trPr/>
        <w:tc>
          <w:tcPr>
            <w:tcW w:w="2032" w:type="dxa"/>
            <w:tcBorders/>
            <w:vAlign w:val="center"/>
          </w:tcPr>
          <w:p>
            <w:pPr>
              <w:pStyle w:val="TableContents"/>
              <w:bidi w:val="0"/>
              <w:spacing w:before="0" w:after="283"/>
              <w:jc w:val="left"/>
              <w:rPr/>
            </w:pPr>
            <w:r>
              <w:rPr/>
              <w:t>1</w:t>
            </w:r>
          </w:p>
        </w:tc>
        <w:tc>
          <w:tcPr>
            <w:tcW w:w="817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Quantonation Co-Investment SPV I, LLC</w:t>
            </w:r>
          </w:p>
        </w:tc>
      </w:tr>
      <w:tr>
        <w:trPr/>
        <w:tc>
          <w:tcPr>
            <w:tcW w:w="2032" w:type="dxa"/>
            <w:tcBorders/>
            <w:vAlign w:val="center"/>
          </w:tcPr>
          <w:p>
            <w:pPr>
              <w:pStyle w:val="TableContents"/>
              <w:bidi w:val="0"/>
              <w:spacing w:before="0" w:after="283"/>
              <w:jc w:val="left"/>
              <w:rPr/>
            </w:pPr>
            <w:r>
              <w:rPr/>
              <w:t>2</w:t>
            </w:r>
          </w:p>
        </w:tc>
        <w:tc>
          <w:tcPr>
            <w:tcW w:w="817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2" w:type="dxa"/>
            <w:tcBorders/>
            <w:vAlign w:val="center"/>
          </w:tcPr>
          <w:p>
            <w:pPr>
              <w:pStyle w:val="TableContents"/>
              <w:bidi w:val="0"/>
              <w:spacing w:before="0" w:after="283"/>
              <w:jc w:val="left"/>
              <w:rPr/>
            </w:pPr>
            <w:r>
              <w:rPr/>
              <w:t>3</w:t>
            </w:r>
          </w:p>
        </w:tc>
        <w:tc>
          <w:tcPr>
            <w:tcW w:w="8173" w:type="dxa"/>
            <w:tcBorders/>
            <w:vAlign w:val="center"/>
          </w:tcPr>
          <w:p>
            <w:pPr>
              <w:pStyle w:val="TableContents"/>
              <w:bidi w:val="0"/>
              <w:spacing w:before="0" w:after="283"/>
              <w:jc w:val="left"/>
              <w:rPr/>
            </w:pPr>
            <w:r>
              <w:rPr/>
              <w:t>Sec Use Only</w:t>
            </w:r>
          </w:p>
        </w:tc>
      </w:tr>
      <w:tr>
        <w:trPr/>
        <w:tc>
          <w:tcPr>
            <w:tcW w:w="2032" w:type="dxa"/>
            <w:tcBorders/>
            <w:vAlign w:val="center"/>
          </w:tcPr>
          <w:p>
            <w:pPr>
              <w:pStyle w:val="TableContents"/>
              <w:bidi w:val="0"/>
              <w:spacing w:before="0" w:after="283"/>
              <w:jc w:val="left"/>
              <w:rPr/>
            </w:pPr>
            <w:r>
              <w:rPr/>
              <w:t>4</w:t>
            </w:r>
          </w:p>
        </w:tc>
        <w:tc>
          <w:tcPr>
            <w:tcW w:w="817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322,853.00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322,853.00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3" w:type="dxa"/>
            <w:tcBorders/>
            <w:vAlign w:val="center"/>
          </w:tcPr>
          <w:p>
            <w:pPr>
              <w:pStyle w:val="TableContents"/>
              <w:bidi w:val="0"/>
              <w:spacing w:before="0" w:after="283"/>
              <w:jc w:val="left"/>
              <w:rPr>
                <w:sz w:val="4"/>
                <w:szCs w:val="4"/>
              </w:rPr>
            </w:pPr>
            <w:r>
              <w:rPr>
                <w:sz w:val="4"/>
                <w:szCs w:val="4"/>
              </w:rPr>
            </w:r>
          </w:p>
        </w:tc>
      </w:tr>
      <w:tr>
        <w:trPr/>
        <w:tc>
          <w:tcPr>
            <w:tcW w:w="2032" w:type="dxa"/>
            <w:tcBorders/>
            <w:vAlign w:val="center"/>
          </w:tcPr>
          <w:p>
            <w:pPr>
              <w:pStyle w:val="TableContents"/>
              <w:bidi w:val="0"/>
              <w:spacing w:before="0" w:after="283"/>
              <w:jc w:val="left"/>
              <w:rPr/>
            </w:pPr>
            <w:r>
              <w:rPr/>
              <w:t>9</w:t>
            </w:r>
          </w:p>
        </w:tc>
        <w:tc>
          <w:tcPr>
            <w:tcW w:w="817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322,853.00</w:t>
            </w:r>
          </w:p>
        </w:tc>
      </w:tr>
      <w:tr>
        <w:trPr/>
        <w:tc>
          <w:tcPr>
            <w:tcW w:w="2032" w:type="dxa"/>
            <w:tcBorders/>
            <w:vAlign w:val="center"/>
          </w:tcPr>
          <w:p>
            <w:pPr>
              <w:pStyle w:val="TableContents"/>
              <w:bidi w:val="0"/>
              <w:spacing w:before="0" w:after="283"/>
              <w:jc w:val="left"/>
              <w:rPr/>
            </w:pPr>
            <w:r>
              <w:rPr/>
              <w:t>10</w:t>
            </w:r>
          </w:p>
        </w:tc>
        <w:tc>
          <w:tcPr>
            <w:tcW w:w="817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2" w:type="dxa"/>
            <w:tcBorders/>
            <w:vAlign w:val="center"/>
          </w:tcPr>
          <w:p>
            <w:pPr>
              <w:pStyle w:val="TableContents"/>
              <w:bidi w:val="0"/>
              <w:spacing w:before="0" w:after="283"/>
              <w:jc w:val="left"/>
              <w:rPr/>
            </w:pPr>
            <w:r>
              <w:rPr/>
              <w:t>11</w:t>
            </w:r>
          </w:p>
        </w:tc>
        <w:tc>
          <w:tcPr>
            <w:tcW w:w="817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32" w:type="dxa"/>
            <w:tcBorders/>
            <w:vAlign w:val="center"/>
          </w:tcPr>
          <w:p>
            <w:pPr>
              <w:pStyle w:val="TableContents"/>
              <w:bidi w:val="0"/>
              <w:spacing w:before="0" w:after="283"/>
              <w:jc w:val="left"/>
              <w:rPr/>
            </w:pPr>
            <w:r>
              <w:rPr/>
              <w:t>12</w:t>
            </w:r>
          </w:p>
        </w:tc>
        <w:tc>
          <w:tcPr>
            <w:tcW w:w="817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percent of class is based upon 212,293,691 ordinary shares of the Issuer outstanding as of September 1, 2026, as reported in the Issuer's registration statement on Form F-1 (No. 333-298830), filed with the Securities and Exchange Commission on September 1, 2026. (2) The reporting person is a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FPCI Quantonation Co-Investment SPV II</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FRANCE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2,200,858.00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2,200,858.00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2,200,858.00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percent of class is based upon 212,293,691 ordinary shares of the Issuer outstanding as of September 1, 2026, as reported in the Issuer's registration statement on Form F-1 (No. 333-298830), filed with the Securities and Exchange Commission on September 1, 2026. (2) The reporting person is a French fonds professionnel de capital investissement.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Quantonation Ventures SAS</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FRANCE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24,448,402.00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24,448,402.00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24,448,402.00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reported share amounts consist of ordinary shares of the Issuer held directly by each of (i) Quantonation I, (ii) Quantonation Co-Investment SPV I, LLC and (iii) FPCI Quantonation Co-Investment SPV II, of which the reporting person is the investment manager and, as a result, may be deemed to have beneficial ownership over the securities held directly thereby. (2) The percent of class is based upon 212,293,691 ordinary shares of the Issuer outstanding as of September 1, 2026, as reported in the Issuer's registration statement on Form F-1 (No. 333-298830), filed with the Securities and Exchange Commission on September 1, 2026. (3)The reporting person is a French societe par actions simplifiee registered with the Paris Trade and Companies Register under number 849 813 522.</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28"/>
        <w:gridCol w:w="8922"/>
        <w:gridCol w:w="155"/>
      </w:tblGrid>
      <w:tr>
        <w:trPr/>
        <w:tc>
          <w:tcPr>
            <w:tcW w:w="1128" w:type="dxa"/>
            <w:tcBorders/>
            <w:vAlign w:val="center"/>
          </w:tcPr>
          <w:p>
            <w:pPr>
              <w:pStyle w:val="TableContents"/>
              <w:bidi w:val="0"/>
              <w:spacing w:before="0" w:after="283"/>
              <w:jc w:val="left"/>
              <w:rPr/>
            </w:pPr>
            <w:r>
              <w:rPr/>
              <w:t>Item 1.</w:t>
            </w:r>
          </w:p>
        </w:tc>
        <w:tc>
          <w:tcPr>
            <w:tcW w:w="892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jc w:val="left"/>
              <w:rPr/>
            </w:pPr>
            <w:r>
              <w:rPr/>
              <w:t xml:space="preserve">Name of issuer: </w:t>
            </w:r>
          </w:p>
          <w:p>
            <w:pPr>
              <w:pStyle w:val="TableContents"/>
              <w:bidi w:val="0"/>
              <w:spacing w:before="0" w:after="0"/>
              <w:jc w:val="left"/>
              <w:rPr/>
            </w:pPr>
            <w:r>
              <w:rPr/>
              <w:t>Pasqal Holding SA</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 rue Emile Baudot, Palaiseau, I0 91120</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2.</w:t>
            </w:r>
          </w:p>
        </w:tc>
        <w:tc>
          <w:tcPr>
            <w:tcW w:w="892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filed by: (i) Quantonation I (the "Fund"); (ii) Quantonation Co-Investment SPV I, LLC ("Co-Invest I"); (iii) FCPI Quantonation Co-Investment SPV II ("Co-Invest II"); and (iv) Quantonation Ventures SAS (the "Investment Manager," and each of the Fund, Co-Invest I, Co-Invest II and the Investment Manager, a "Reporting Person")</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the Reporting Persons is 58, rue d'Hauteville, 75010 Paris.</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jc w:val="left"/>
              <w:rPr/>
            </w:pPr>
            <w:r>
              <w:rPr/>
              <w:t xml:space="preserve">Citizenship: </w:t>
            </w:r>
          </w:p>
          <w:p>
            <w:pPr>
              <w:pStyle w:val="TableContents"/>
              <w:bidi w:val="0"/>
              <w:spacing w:before="0" w:after="0"/>
              <w:jc w:val="left"/>
              <w:rPr/>
            </w:pPr>
            <w:r>
              <w:rPr/>
              <w:t>Quantonation I is a French fonds professionnel de capital investissement, Co-Invest I is a Delaware limited liability company, Co-Invest II is a French fonds professionnel de capital investissement and the Investment Manager is a French societe par actions simplifiee registered with the Paris Trade and Companies Register under number 849 813 522.</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(d)</w:t>
            </w:r>
          </w:p>
        </w:tc>
        <w:tc>
          <w:tcPr>
            <w:tcW w:w="892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EUR 0.02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(e)</w:t>
            </w:r>
          </w:p>
        </w:tc>
        <w:tc>
          <w:tcPr>
            <w:tcW w:w="892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3.</w:t>
            </w:r>
          </w:p>
        </w:tc>
        <w:tc>
          <w:tcPr>
            <w:tcW w:w="892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(d)</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(e)</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(f)</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(g)</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(h)</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(j)</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(k)</w:t>
            </w:r>
          </w:p>
        </w:tc>
        <w:tc>
          <w:tcPr>
            <w:tcW w:w="892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9077" w:type="dxa"/>
            <w:gridSpan w:val="2"/>
            <w:tcBorders/>
            <w:vAlign w:val="center"/>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4.</w:t>
            </w:r>
          </w:p>
        </w:tc>
        <w:tc>
          <w:tcPr>
            <w:tcW w:w="892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(a)</w:t>
            </w:r>
          </w:p>
        </w:tc>
        <w:tc>
          <w:tcPr>
            <w:tcW w:w="892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Fund is the beneficial owner of 21,924,691 ordinary shares held directly thereby, of which it has sole voting and dispositive power. Co-Invest I is the beneficial owner of 322,853 ordinary shares held directly thereby, of which it has sole voting and dispositive power. Co-Invest II is the beneficial owner of 2,200,858 ordinary shares held directly thereby, of which it has sole voting and dispositive power. The Investment Manager may be deemed to beneficially own the shares owned by each of the Fund, Co-Invest I and Co-Invest II, as the investment manager of each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(b)</w:t>
            </w:r>
          </w:p>
        </w:tc>
        <w:tc>
          <w:tcPr>
            <w:tcW w:w="892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Fund: 10.3% Co-Invest I: 0.2% Co-Invest II: 1.0% Investment Manager: 11.5%  %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(c)</w:t>
            </w:r>
          </w:p>
        </w:tc>
        <w:tc>
          <w:tcPr>
            <w:tcW w:w="892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Fund: 21,924,691 Co-Invest I: 322,853 Co-Invest II: 2,200,858 Investment Manager: 24,448,402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N/A</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Fund: 21,924,691 Co-Invest I: 322,853 Co-Invest II: 2,200,858 Investment Manager: 24,448,402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N/A</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5.</w:t>
            </w:r>
          </w:p>
        </w:tc>
        <w:tc>
          <w:tcPr>
            <w:tcW w:w="892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6.</w:t>
            </w:r>
          </w:p>
        </w:tc>
        <w:tc>
          <w:tcPr>
            <w:tcW w:w="892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7.</w:t>
            </w:r>
          </w:p>
        </w:tc>
        <w:tc>
          <w:tcPr>
            <w:tcW w:w="892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8.</w:t>
            </w:r>
          </w:p>
        </w:tc>
        <w:tc>
          <w:tcPr>
            <w:tcW w:w="892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Item 9.</w:t>
            </w:r>
          </w:p>
        </w:tc>
        <w:tc>
          <w:tcPr>
            <w:tcW w:w="892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8"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418" w:type="dxa"/>
        <w:jc w:val="left"/>
        <w:tblInd w:w="0" w:type="dxa"/>
        <w:tblLayout w:type="fixed"/>
        <w:tblCellMar>
          <w:top w:w="28" w:type="dxa"/>
          <w:left w:w="28" w:type="dxa"/>
          <w:bottom w:w="28" w:type="dxa"/>
          <w:right w:w="28" w:type="dxa"/>
        </w:tblCellMar>
      </w:tblPr>
      <w:tblGrid>
        <w:gridCol w:w="1709"/>
        <w:gridCol w:w="1709"/>
      </w:tblGrid>
      <w:tr>
        <w:trPr/>
        <w:tc>
          <w:tcPr>
            <w:tcW w:w="1709" w:type="dxa"/>
            <w:tcBorders/>
            <w:vAlign w:val="center"/>
          </w:tcPr>
          <w:p>
            <w:pPr>
              <w:pStyle w:val="TableContents"/>
              <w:bidi w:val="0"/>
              <w:spacing w:before="0" w:after="0"/>
              <w:jc w:val="left"/>
              <w:rPr/>
            </w:pPr>
            <w:r>
              <w:rPr/>
              <w:t> </w:t>
            </w:r>
          </w:p>
          <w:tbl>
            <w:tblPr>
              <w:tblW w:w="1591" w:type="dxa"/>
              <w:jc w:val="left"/>
              <w:tblInd w:w="0" w:type="dxa"/>
              <w:tblLayout w:type="fixed"/>
              <w:tblCellMar>
                <w:top w:w="28" w:type="dxa"/>
                <w:left w:w="28" w:type="dxa"/>
                <w:bottom w:w="28" w:type="dxa"/>
                <w:right w:w="28" w:type="dxa"/>
              </w:tblCellMar>
            </w:tblPr>
            <w:tblGrid>
              <w:gridCol w:w="1591"/>
            </w:tblGrid>
            <w:tr>
              <w:trPr/>
              <w:tc>
                <w:tcPr>
                  <w:tcW w:w="1591" w:type="dxa"/>
                  <w:tcBorders/>
                  <w:vAlign w:val="center"/>
                </w:tcPr>
                <w:p>
                  <w:pPr>
                    <w:pStyle w:val="TableContents"/>
                    <w:bidi w:val="0"/>
                    <w:spacing w:before="0" w:after="0"/>
                    <w:jc w:val="left"/>
                    <w:rPr/>
                  </w:pPr>
                  <w:r>
                    <w:rPr/>
                    <w:t>Quantonation I</w:t>
                  </w:r>
                </w:p>
              </w:tc>
            </w:tr>
          </w:tbl>
          <w:p>
            <w:pPr>
              <w:pStyle w:val="TableContents"/>
              <w:bidi w:val="0"/>
              <w:spacing w:before="0" w:after="283"/>
              <w:jc w:val="left"/>
              <w:rPr/>
            </w:pPr>
            <w:r>
              <w:rPr/>
            </w:r>
          </w:p>
        </w:tc>
        <w:tc>
          <w:tcPr>
            <w:tcW w:w="17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6"/>
        <w:gridCol w:w="4309"/>
      </w:tblGrid>
      <w:tr>
        <w:trPr/>
        <w:tc>
          <w:tcPr>
            <w:tcW w:w="58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Christophe Jurczak</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Christophe Jurczak, President of Investment Manager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8618" w:type="dxa"/>
        <w:jc w:val="left"/>
        <w:tblInd w:w="0" w:type="dxa"/>
        <w:tblLayout w:type="fixed"/>
        <w:tblCellMar>
          <w:top w:w="28" w:type="dxa"/>
          <w:left w:w="28" w:type="dxa"/>
          <w:bottom w:w="28" w:type="dxa"/>
          <w:right w:w="28" w:type="dxa"/>
        </w:tblCellMar>
      </w:tblPr>
      <w:tblGrid>
        <w:gridCol w:w="4309"/>
        <w:gridCol w:w="4309"/>
      </w:tblGrid>
      <w:tr>
        <w:trPr/>
        <w:tc>
          <w:tcPr>
            <w:tcW w:w="4309" w:type="dxa"/>
            <w:tcBorders/>
            <w:vAlign w:val="center"/>
          </w:tcPr>
          <w:p>
            <w:pPr>
              <w:pStyle w:val="TableContents"/>
              <w:bidi w:val="0"/>
              <w:spacing w:before="0" w:after="0"/>
              <w:jc w:val="left"/>
              <w:rPr/>
            </w:pPr>
            <w:r>
              <w:rPr/>
              <w:t> </w:t>
            </w:r>
          </w:p>
          <w:tbl>
            <w:tblPr>
              <w:tblW w:w="4141" w:type="dxa"/>
              <w:jc w:val="left"/>
              <w:tblInd w:w="0" w:type="dxa"/>
              <w:tblLayout w:type="fixed"/>
              <w:tblCellMar>
                <w:top w:w="28" w:type="dxa"/>
                <w:left w:w="28" w:type="dxa"/>
                <w:bottom w:w="28" w:type="dxa"/>
                <w:right w:w="28" w:type="dxa"/>
              </w:tblCellMar>
            </w:tblPr>
            <w:tblGrid>
              <w:gridCol w:w="4141"/>
            </w:tblGrid>
            <w:tr>
              <w:trPr/>
              <w:tc>
                <w:tcPr>
                  <w:tcW w:w="4141" w:type="dxa"/>
                  <w:tcBorders/>
                  <w:vAlign w:val="center"/>
                </w:tcPr>
                <w:p>
                  <w:pPr>
                    <w:pStyle w:val="TableContents"/>
                    <w:bidi w:val="0"/>
                    <w:spacing w:before="0" w:after="0"/>
                    <w:jc w:val="left"/>
                    <w:rPr/>
                  </w:pPr>
                  <w:r>
                    <w:rPr/>
                    <w:t>Quantonation Co-Investment SPV I, LLC</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6"/>
        <w:gridCol w:w="4309"/>
      </w:tblGrid>
      <w:tr>
        <w:trPr/>
        <w:tc>
          <w:tcPr>
            <w:tcW w:w="58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Christophe Jurczak</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Christophe Jurczak, President of Investment Manager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FPCI Quantonation Co-Investment SPV II</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6"/>
        <w:gridCol w:w="4309"/>
      </w:tblGrid>
      <w:tr>
        <w:trPr/>
        <w:tc>
          <w:tcPr>
            <w:tcW w:w="58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Christophe Jurczak</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Christophe Jurczak, President of Investment Manager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6030" w:type="dxa"/>
        <w:jc w:val="left"/>
        <w:tblInd w:w="0" w:type="dxa"/>
        <w:tblLayout w:type="fixed"/>
        <w:tblCellMar>
          <w:top w:w="28" w:type="dxa"/>
          <w:left w:w="28" w:type="dxa"/>
          <w:bottom w:w="28" w:type="dxa"/>
          <w:right w:w="28" w:type="dxa"/>
        </w:tblCellMar>
      </w:tblPr>
      <w:tblGrid>
        <w:gridCol w:w="3015"/>
        <w:gridCol w:w="3015"/>
      </w:tblGrid>
      <w:tr>
        <w:trPr/>
        <w:tc>
          <w:tcPr>
            <w:tcW w:w="3015" w:type="dxa"/>
            <w:tcBorders/>
            <w:vAlign w:val="center"/>
          </w:tcPr>
          <w:p>
            <w:pPr>
              <w:pStyle w:val="TableContents"/>
              <w:bidi w:val="0"/>
              <w:spacing w:before="0" w:after="0"/>
              <w:jc w:val="left"/>
              <w:rPr/>
            </w:pPr>
            <w:r>
              <w:rPr/>
              <w:t> </w:t>
            </w:r>
          </w:p>
          <w:tbl>
            <w:tblPr>
              <w:tblW w:w="2881" w:type="dxa"/>
              <w:jc w:val="left"/>
              <w:tblInd w:w="0" w:type="dxa"/>
              <w:tblLayout w:type="fixed"/>
              <w:tblCellMar>
                <w:top w:w="28" w:type="dxa"/>
                <w:left w:w="28" w:type="dxa"/>
                <w:bottom w:w="28" w:type="dxa"/>
                <w:right w:w="28" w:type="dxa"/>
              </w:tblCellMar>
            </w:tblPr>
            <w:tblGrid>
              <w:gridCol w:w="2881"/>
            </w:tblGrid>
            <w:tr>
              <w:trPr/>
              <w:tc>
                <w:tcPr>
                  <w:tcW w:w="2881" w:type="dxa"/>
                  <w:tcBorders/>
                  <w:vAlign w:val="center"/>
                </w:tcPr>
                <w:p>
                  <w:pPr>
                    <w:pStyle w:val="TableContents"/>
                    <w:bidi w:val="0"/>
                    <w:spacing w:before="0" w:after="0"/>
                    <w:jc w:val="left"/>
                    <w:rPr/>
                  </w:pPr>
                  <w:r>
                    <w:rPr/>
                    <w:t>Quantonation Ventures SAS</w:t>
                  </w:r>
                </w:p>
              </w:tc>
            </w:tr>
          </w:tbl>
          <w:p>
            <w:pPr>
              <w:pStyle w:val="TableContents"/>
              <w:bidi w:val="0"/>
              <w:spacing w:before="0" w:after="283"/>
              <w:jc w:val="left"/>
              <w:rPr/>
            </w:pPr>
            <w:r>
              <w:rPr/>
            </w:r>
          </w:p>
        </w:tc>
        <w:tc>
          <w:tcPr>
            <w:tcW w:w="3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4"/>
        <w:gridCol w:w="4301"/>
      </w:tblGrid>
      <w:tr>
        <w:trPr/>
        <w:tc>
          <w:tcPr>
            <w:tcW w:w="59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Christophe Jurczak</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Christophe Jurczak, President</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0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caps w:val="false"/>
          <w:smallCaps w:val="false"/>
        </w:rPr>
      </w:pPr>
      <w:bookmarkStart w:id="28" w:name="tm2627156d1_ex99-1.htm"/>
      <w:bookmarkStart w:id="29" w:name="kstm2627156d1_ex991"/>
      <w:bookmarkEnd w:id="28"/>
      <w:bookmarkEnd w:id="2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inaccurate.</w:t>
      </w:r>
    </w:p>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1010"/>
        <w:gridCol w:w="4445"/>
        <w:gridCol w:w="75"/>
      </w:tblGrid>
      <w:tr>
        <w:trPr/>
        <w:tc>
          <w:tcPr>
            <w:tcW w:w="545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Quantonation I</w:t>
            </w:r>
          </w:p>
        </w:tc>
        <w:tc>
          <w:tcPr>
            <w:tcW w:w="75" w:type="dxa"/>
            <w:tcBorders/>
            <w:vAlign w:val="center"/>
          </w:tcPr>
          <w:p>
            <w:pPr>
              <w:pStyle w:val="TableContents"/>
              <w:bidi w:val="0"/>
              <w:spacing w:before="0" w:after="283"/>
              <w:jc w:val="left"/>
              <w:rPr/>
            </w:pPr>
            <w:r>
              <w:rPr/>
              <w:t> </w:t>
            </w:r>
          </w:p>
        </w:tc>
      </w:tr>
      <w:tr>
        <w:trPr/>
        <w:tc>
          <w:tcPr>
            <w:tcW w:w="545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44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Christophe Jurczak</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Name/Title:</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Christophe Jurczak – President of Investment Manager</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7, 2026</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45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Quantonation Co-Investment SPV I, LLC</w:t>
            </w:r>
          </w:p>
        </w:tc>
        <w:tc>
          <w:tcPr>
            <w:tcW w:w="75" w:type="dxa"/>
            <w:tcBorders/>
            <w:vAlign w:val="center"/>
          </w:tcPr>
          <w:p>
            <w:pPr>
              <w:pStyle w:val="TableContents"/>
              <w:bidi w:val="0"/>
              <w:spacing w:before="0" w:after="283"/>
              <w:jc w:val="left"/>
              <w:rPr/>
            </w:pPr>
            <w:r>
              <w:rPr/>
              <w:t> </w:t>
            </w:r>
          </w:p>
        </w:tc>
      </w:tr>
      <w:tr>
        <w:trPr/>
        <w:tc>
          <w:tcPr>
            <w:tcW w:w="545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44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Christophe Jurczak</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Name/Title:</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Christophe Jurczak – President of Investment Manager</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7, 2026</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45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FCPI Quantonation Co-Investment SPV II, LLC</w:t>
            </w:r>
          </w:p>
        </w:tc>
        <w:tc>
          <w:tcPr>
            <w:tcW w:w="75" w:type="dxa"/>
            <w:tcBorders/>
            <w:vAlign w:val="center"/>
          </w:tcPr>
          <w:p>
            <w:pPr>
              <w:pStyle w:val="TableContents"/>
              <w:bidi w:val="0"/>
              <w:spacing w:before="0" w:after="283"/>
              <w:jc w:val="left"/>
              <w:rPr/>
            </w:pPr>
            <w:r>
              <w:rPr/>
              <w:t> </w:t>
            </w:r>
          </w:p>
        </w:tc>
      </w:tr>
      <w:tr>
        <w:trPr/>
        <w:tc>
          <w:tcPr>
            <w:tcW w:w="545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44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Christophe Jurczak</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Name/Title:</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Christophe Jurczak – President of Investment Manager</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7, 2026</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45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Quantonation Ventures SAS</w:t>
            </w:r>
          </w:p>
        </w:tc>
        <w:tc>
          <w:tcPr>
            <w:tcW w:w="75" w:type="dxa"/>
            <w:tcBorders/>
            <w:vAlign w:val="center"/>
          </w:tcPr>
          <w:p>
            <w:pPr>
              <w:pStyle w:val="TableContents"/>
              <w:bidi w:val="0"/>
              <w:spacing w:before="0" w:after="283"/>
              <w:jc w:val="left"/>
              <w:rPr/>
            </w:pPr>
            <w:r>
              <w:rPr/>
              <w:t> </w:t>
            </w:r>
          </w:p>
        </w:tc>
      </w:tr>
      <w:tr>
        <w:trPr/>
        <w:tc>
          <w:tcPr>
            <w:tcW w:w="545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44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Christophe Jurczak</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Name/Title:</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Christophe Jurczak - President</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4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7, 2026</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1859</Words>
  <Characters>10017</Characters>
  <CharactersWithSpaces>11819</CharactersWithSpaces>
  <Paragraphs>373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